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120" w:right="0" w:firstLine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6" w:afterLines="80" w:line="64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新平县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慢性病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定点零售药店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评分标准</w:t>
      </w:r>
    </w:p>
    <w:tbl>
      <w:tblPr>
        <w:tblStyle w:val="5"/>
        <w:tblW w:w="14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775"/>
        <w:gridCol w:w="1035"/>
        <w:gridCol w:w="3105"/>
        <w:gridCol w:w="7350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6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评分项目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评分项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评分内容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评分细则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668" w:type="dxa"/>
            <w:vMerge w:val="restart"/>
            <w:noWrap w:val="0"/>
            <w:vAlign w:val="center"/>
          </w:tcPr>
          <w:p>
            <w:pPr>
              <w:pStyle w:val="7"/>
              <w:spacing w:before="1" w:line="323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基本条件</w:t>
            </w:r>
          </w:p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0分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w w:val="99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18"/>
                <w:szCs w:val="18"/>
              </w:rPr>
              <w:t>人员资质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在申请药店注册并签订劳动合同一年（含）以上且在合同期内的执业药师1人(含）以上的得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分，2人(含）及以上的得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分。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执业药师不得兼职或挂证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，保证营业时间有执业药师在岗。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执业药师兼职或挂证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则一票否决。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1.提供注册在申报门店的执业药师名单、身份证及执业注册证复印件；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2.检查药师执业注册证，“执业单位”必须为申报门店；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3.提供社保参保缴费记录，确认参保时间符合规定时限；注册药师如为退休人员，则不检查参保记录。</w:t>
            </w: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.查看药师执业注册证与参保缴费记录。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宋体" w:cs="Times New Roman"/>
                <w:w w:val="99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营业面积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药店营业面积在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100平方米以上的得10分，以下的得7分。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查看药店营业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场所产权证明或租赁合同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服务资质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申报门店获得医保定点资格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年以下的得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分，定点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年（含）以上的得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分。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pStyle w:val="2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以医保经办机构查询签订日期为准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2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668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违规情况</w:t>
            </w:r>
          </w:p>
        </w:tc>
        <w:tc>
          <w:tcPr>
            <w:tcW w:w="3105" w:type="dxa"/>
            <w:noWrap w:val="0"/>
            <w:vAlign w:val="center"/>
          </w:tcPr>
          <w:p>
            <w:pPr>
              <w:pStyle w:val="7"/>
              <w:spacing w:line="259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公司及其法人未被列为失信被执行人，近两年内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无医保违规记录，无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行业主管部门处罚记录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7350" w:type="dxa"/>
            <w:noWrap w:val="0"/>
            <w:vAlign w:val="center"/>
          </w:tcPr>
          <w:p>
            <w:pPr>
              <w:pStyle w:val="7"/>
              <w:spacing w:line="259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查询药店信用信息，被列为失信执行人一票否决。</w:t>
            </w:r>
          </w:p>
          <w:p>
            <w:pPr>
              <w:pStyle w:val="7"/>
              <w:spacing w:line="259" w:lineRule="exact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查询市场监督管理局行政处罚情况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以及医保部门处罚情况，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每发生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处罚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一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起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扣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分，扣完为止。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pStyle w:val="7"/>
              <w:spacing w:line="259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sz w:val="21"/>
          <w:szCs w:val="21"/>
        </w:rPr>
      </w:pPr>
    </w:p>
    <w:p>
      <w:pPr>
        <w:pStyle w:val="2"/>
        <w:rPr>
          <w:rFonts w:hint="default" w:ascii="Times New Roman" w:hAnsi="Times New Roman" w:cs="Times New Roman"/>
          <w:sz w:val="21"/>
          <w:szCs w:val="21"/>
        </w:rPr>
      </w:pPr>
    </w:p>
    <w:tbl>
      <w:tblPr>
        <w:tblStyle w:val="5"/>
        <w:tblW w:w="14337" w:type="dxa"/>
        <w:tblInd w:w="-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795"/>
        <w:gridCol w:w="1040"/>
        <w:gridCol w:w="3296"/>
        <w:gridCol w:w="7380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0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评分项目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评分项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评分内容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评分细则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pStyle w:val="7"/>
              <w:spacing w:before="1" w:line="323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服务能力</w:t>
            </w:r>
          </w:p>
          <w:p>
            <w:pPr>
              <w:pStyle w:val="7"/>
              <w:spacing w:before="1" w:line="323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（60 分）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规章制度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申报门店有针对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慢性病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零售管理和服务相关岗位设置、规章制度的得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分。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52"/>
              </w:tabs>
              <w:spacing w:before="28" w:after="0" w:line="160" w:lineRule="auto"/>
              <w:ind w:left="0" w:leftChars="0" w:right="96" w:righ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检查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药店关于慢性病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零售管理和服务相关岗位设置、规章制度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文件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缺失或不全一项扣1分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652"/>
              </w:tabs>
              <w:spacing w:before="28" w:after="0" w:line="160" w:lineRule="auto"/>
              <w:ind w:left="0" w:leftChars="0" w:right="96" w:righ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pStyle w:val="7"/>
              <w:spacing w:before="1" w:line="323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7"/>
              <w:spacing w:line="259" w:lineRule="exact"/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人员配备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pStyle w:val="7"/>
              <w:spacing w:line="259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申报门店配备员工（不含执业药师）2人得8分，3人及以上得10分。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查看员工劳动合同签订情况以及排班表等资料。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spacing w:line="259" w:lineRule="exact"/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pStyle w:val="7"/>
              <w:spacing w:line="259" w:lineRule="exact"/>
              <w:ind w:left="108" w:leftChars="0"/>
              <w:jc w:val="center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7"/>
              <w:spacing w:line="259" w:lineRule="exact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慢性病药品配备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eastAsia" w:ascii="Times New Roman" w:hAnsi="Times New Roman" w:eastAsia="宋体" w:cs="Times New Roman"/>
                <w:b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慢性病药品配备品种小于30种的得5分，30-40种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分；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大于50种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得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5分。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eastAsia" w:ascii="Times New Roman" w:hAnsi="Times New Roman" w:eastAsia="宋体" w:cs="Times New Roman"/>
                <w:b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查看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慢性病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药品进销存发票（单据）或台账，进销发票（单据）与进销存系统记录保持一致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 xml:space="preserve">，药品实际库存与系统库存一致。 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慢性病药售价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慢性病药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销售价格不得高于玉溪市药品配送结算管理系统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价格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。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eastAsia" w:ascii="Times New Roman" w:hAnsi="Times New Roman" w:eastAsia="宋体" w:cs="Times New Roman"/>
                <w:b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随机抽查不低于10种药品，销售价格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高于玉溪市药品配送结算管理系统价格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的一票否决。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pStyle w:val="7"/>
              <w:spacing w:line="259" w:lineRule="exact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信息化管理</w:t>
            </w:r>
          </w:p>
        </w:tc>
        <w:tc>
          <w:tcPr>
            <w:tcW w:w="3296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申报门店有为患者提供用药提醒、用药指导、随访跟踪等服务管理的得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分</w:t>
            </w: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具备可联网接入医疗保险信息系统的软、硬件条件，能确保全省统一的电子处方正常流转，得5分。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pStyle w:val="7"/>
              <w:spacing w:before="27" w:line="160" w:lineRule="auto"/>
              <w:ind w:right="-15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  <w:t>.患者服务管理信息化：包括能够清楚记录哪个患者购买了何种药品，以便于随后围绕此患者使用的具体药品情况开展售后服务； 能够管理维护针对患者的服务计划；能够根据患者服务计划创建服务任务，并将任务分配给指定客服人员或执业药师开展服务；能够清晰记录开展的一系列服务情况，如谁什么时候联系了患者，做了什么服务（用药提醒、用药指导、随访跟踪、赠药提醒等）；能够提供患者服务执行的时效管理，对于超过服务时限的任务能够给予药房管理人员明显地提醒。以上没有信息化管理得0分，有但功能不健全，每少一项扣1分，扣完为止。</w:t>
            </w:r>
          </w:p>
          <w:p>
            <w:pPr>
              <w:pStyle w:val="7"/>
              <w:spacing w:line="259" w:lineRule="exact"/>
              <w:ind w:left="108" w:leftChars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  <w:t>2.不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具备可联网接入医疗保险信息系统的软、硬件条件，</w:t>
            </w:r>
            <w:r>
              <w:rPr>
                <w:rFonts w:hint="eastAsia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  <w:t>扣5分。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418" w:type="dxa"/>
            <w:gridSpan w:val="5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default" w:ascii="宋体" w:hAnsi="宋体" w:eastAsia="宋体" w:cs="宋体"/>
                <w:b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评分合计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pStyle w:val="7"/>
              <w:spacing w:line="259" w:lineRule="exact"/>
              <w:ind w:left="108" w:leftChars="0"/>
              <w:jc w:val="left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default" w:eastAsia="宋体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检查人签字：</w:t>
      </w: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5278755</wp:posOffset>
              </wp:positionH>
              <wp:positionV relativeFrom="page">
                <wp:posOffset>6745605</wp:posOffset>
              </wp:positionV>
              <wp:extent cx="530860" cy="32258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5.65pt;margin-top:531.15pt;height:25.4pt;width:41.8pt;mso-position-horizontal-relative:page;mso-position-vertical-relative:page;z-index:-251658240;mso-width-relative:page;mso-height-relative:page;" filled="f" stroked="f" coordsize="21600,21600" o:gfxdata="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VdVDPaAAAADQEAAA8A&#10;AAAAAAAAAQAgAAAAIgAAAGRycy9kb3ducmV2LnhtbFBLAQIUABQAAAAIAIdO4kC8oH6WowEAADED&#10;AAAOAAAAAAAAAAEAIAAAACk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075EA"/>
    <w:rsid w:val="0A9B4B56"/>
    <w:rsid w:val="36967C8C"/>
    <w:rsid w:val="3FD075EA"/>
    <w:rsid w:val="4BD15229"/>
    <w:rsid w:val="5008400D"/>
    <w:rsid w:val="6D700E6D"/>
    <w:rsid w:val="754D0C64"/>
    <w:rsid w:val="7D0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3"/>
    </w:pPr>
    <w:rPr>
      <w:rFonts w:ascii="Arial" w:hAnsi="Arial" w:eastAsia="宋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ind w:left="108"/>
    </w:pPr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2022-04-28T06:22:00Z</dcterms:created>
  <dc:creator>张文</dc:creator>
  <cp:lastModifiedBy>杨晓</cp:lastModifiedBy>
  <dcterms:modified xsi:type="dcterms:W3CDTF">2022-04-29T02:06:13Z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