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val="0"/>
        <w:wordWrap/>
        <w:overflowPunct/>
        <w:topLinePunct w:val="0"/>
        <w:autoSpaceDE w:val="0"/>
        <w:autoSpaceDN w:val="0"/>
        <w:bidi w:val="0"/>
        <w:adjustRightInd w:val="0"/>
        <w:snapToGrid w:val="0"/>
        <w:spacing w:before="140" w:line="317" w:lineRule="auto"/>
        <w:jc w:val="center"/>
        <w:textAlignment w:val="baseline"/>
        <w:rPr>
          <w:rFonts w:hint="eastAsia" w:ascii="方正小标宋简体" w:hAnsi="方正小标宋简体" w:eastAsia="方正小标宋简体" w:cs="方正小标宋简体"/>
          <w:b w:val="0"/>
          <w:bCs w:val="0"/>
          <w:spacing w:val="23"/>
          <w:position w:val="3"/>
          <w:sz w:val="44"/>
          <w:szCs w:val="44"/>
        </w:rPr>
      </w:pPr>
      <w:r>
        <w:rPr>
          <w:rFonts w:hint="eastAsia" w:ascii="方正小标宋简体" w:hAnsi="方正小标宋简体" w:eastAsia="方正小标宋简体" w:cs="方正小标宋简体"/>
          <w:b w:val="0"/>
          <w:bCs w:val="0"/>
          <w:spacing w:val="23"/>
          <w:position w:val="3"/>
          <w:sz w:val="44"/>
          <w:szCs w:val="44"/>
        </w:rPr>
        <w:t>云南省</w:t>
      </w:r>
      <w:r>
        <w:rPr>
          <w:rFonts w:hint="eastAsia" w:ascii="方正小标宋简体" w:hAnsi="方正小标宋简体" w:eastAsia="方正小标宋简体" w:cs="方正小标宋简体"/>
          <w:b w:val="0"/>
          <w:bCs w:val="0"/>
          <w:spacing w:val="23"/>
          <w:position w:val="3"/>
          <w:sz w:val="44"/>
          <w:szCs w:val="44"/>
          <w:lang w:val="en-US" w:eastAsia="zh-Hans"/>
        </w:rPr>
        <w:t>新平彝族傣族自治</w:t>
      </w:r>
      <w:r>
        <w:rPr>
          <w:rFonts w:hint="eastAsia" w:ascii="方正小标宋简体" w:hAnsi="方正小标宋简体" w:eastAsia="方正小标宋简体" w:cs="方正小标宋简体"/>
          <w:b w:val="0"/>
          <w:bCs w:val="0"/>
          <w:spacing w:val="23"/>
          <w:position w:val="3"/>
          <w:sz w:val="44"/>
          <w:szCs w:val="44"/>
        </w:rPr>
        <w:t>县烟草制品</w:t>
      </w:r>
    </w:p>
    <w:p>
      <w:pPr>
        <w:keepNext w:val="0"/>
        <w:keepLines w:val="0"/>
        <w:pageBreakBefore w:val="0"/>
        <w:widowControl/>
        <w:kinsoku w:val="0"/>
        <w:wordWrap/>
        <w:overflowPunct/>
        <w:topLinePunct w:val="0"/>
        <w:autoSpaceDE w:val="0"/>
        <w:autoSpaceDN w:val="0"/>
        <w:bidi w:val="0"/>
        <w:adjustRightInd w:val="0"/>
        <w:snapToGrid w:val="0"/>
        <w:spacing w:before="140" w:line="317" w:lineRule="auto"/>
        <w:jc w:val="center"/>
        <w:textAlignment w:val="baseline"/>
        <w:rPr>
          <w:rFonts w:hint="eastAsia" w:ascii="宋体" w:hAnsi="宋体" w:eastAsia="方正小标宋简体" w:cs="宋体"/>
          <w:sz w:val="43"/>
          <w:szCs w:val="43"/>
          <w:lang w:eastAsia="zh-CN"/>
        </w:rPr>
      </w:pPr>
      <w:r>
        <w:rPr>
          <w:rFonts w:hint="eastAsia" w:ascii="方正小标宋简体" w:hAnsi="方正小标宋简体" w:eastAsia="方正小标宋简体" w:cs="方正小标宋简体"/>
          <w:b w:val="0"/>
          <w:bCs w:val="0"/>
          <w:spacing w:val="23"/>
          <w:position w:val="3"/>
          <w:sz w:val="44"/>
          <w:szCs w:val="44"/>
        </w:rPr>
        <w:t>零售点</w:t>
      </w:r>
      <w:r>
        <w:rPr>
          <w:rFonts w:hint="eastAsia" w:ascii="方正小标宋简体" w:hAnsi="方正小标宋简体" w:eastAsia="方正小标宋简体" w:cs="方正小标宋简体"/>
          <w:b w:val="0"/>
          <w:bCs w:val="0"/>
          <w:spacing w:val="6"/>
          <w:position w:val="3"/>
          <w:sz w:val="44"/>
          <w:szCs w:val="44"/>
        </w:rPr>
        <w:t>合理布局规划</w:t>
      </w:r>
      <w:r>
        <w:rPr>
          <w:rFonts w:hint="eastAsia" w:ascii="方正小标宋简体" w:hAnsi="方正小标宋简体" w:eastAsia="方正小标宋简体" w:cs="方正小标宋简体"/>
          <w:b w:val="0"/>
          <w:bCs w:val="0"/>
          <w:spacing w:val="6"/>
          <w:position w:val="3"/>
          <w:sz w:val="44"/>
          <w:szCs w:val="44"/>
          <w:lang w:eastAsia="zh-CN"/>
        </w:rPr>
        <w:t>（修订草案）</w:t>
      </w:r>
      <w:bookmarkStart w:id="2" w:name="_GoBack"/>
      <w:bookmarkEnd w:id="2"/>
    </w:p>
    <w:p>
      <w:pPr>
        <w:keepNext w:val="0"/>
        <w:keepLines w:val="0"/>
        <w:pageBreakBefore w:val="0"/>
        <w:wordWrap/>
        <w:overflowPunct/>
        <w:topLinePunct w:val="0"/>
        <w:bidi w:val="0"/>
        <w:adjustRightInd w:val="0"/>
        <w:spacing w:line="336" w:lineRule="auto"/>
        <w:outlineLvl w:val="0"/>
        <w:rPr>
          <w:rFonts w:hint="eastAsia" w:ascii="仿宋_GB2312" w:hAnsi="仿宋_GB2312" w:eastAsia="仿宋_GB2312" w:cs="仿宋_GB2312"/>
          <w:spacing w:val="3"/>
          <w:sz w:val="32"/>
          <w:szCs w:val="32"/>
        </w:rPr>
      </w:pPr>
    </w:p>
    <w:p>
      <w:pPr>
        <w:keepNext w:val="0"/>
        <w:keepLines w:val="0"/>
        <w:pageBreakBefore w:val="0"/>
        <w:wordWrap/>
        <w:overflowPunct/>
        <w:topLinePunct w:val="0"/>
        <w:bidi w:val="0"/>
        <w:adjustRightInd w:val="0"/>
        <w:spacing w:line="336" w:lineRule="auto"/>
        <w:jc w:val="center"/>
        <w:outlineLvl w:val="0"/>
        <w:rPr>
          <w:rFonts w:ascii="黑体" w:hAnsi="黑体" w:eastAsia="黑体" w:cs="黑体"/>
          <w:sz w:val="32"/>
          <w:szCs w:val="32"/>
        </w:rPr>
      </w:pPr>
      <w:r>
        <w:rPr>
          <w:rFonts w:ascii="黑体" w:hAnsi="黑体" w:eastAsia="黑体" w:cs="黑体"/>
          <w:spacing w:val="3"/>
          <w:sz w:val="32"/>
          <w:szCs w:val="32"/>
        </w:rPr>
        <w:t>第一章</w:t>
      </w:r>
      <w:r>
        <w:rPr>
          <w:rFonts w:hint="eastAsia" w:ascii="黑体" w:hAnsi="黑体" w:eastAsia="黑体" w:cs="黑体"/>
          <w:spacing w:val="3"/>
          <w:sz w:val="32"/>
          <w:szCs w:val="32"/>
          <w:lang w:val="en-US" w:eastAsia="zh-CN"/>
        </w:rPr>
        <w:t xml:space="preserve">  </w:t>
      </w:r>
      <w:r>
        <w:rPr>
          <w:rFonts w:ascii="黑体" w:hAnsi="黑体" w:eastAsia="黑体" w:cs="黑体"/>
          <w:spacing w:val="3"/>
          <w:sz w:val="32"/>
          <w:szCs w:val="32"/>
        </w:rPr>
        <w:t>总</w:t>
      </w:r>
      <w:r>
        <w:rPr>
          <w:rFonts w:hint="eastAsia" w:ascii="黑体" w:hAnsi="黑体" w:eastAsia="黑体" w:cs="黑体"/>
          <w:spacing w:val="3"/>
          <w:sz w:val="32"/>
          <w:szCs w:val="32"/>
          <w:lang w:val="en-US" w:eastAsia="zh-CN"/>
        </w:rPr>
        <w:t xml:space="preserve">  </w:t>
      </w:r>
      <w:r>
        <w:rPr>
          <w:rFonts w:ascii="黑体" w:hAnsi="黑体" w:eastAsia="黑体" w:cs="黑体"/>
          <w:spacing w:val="3"/>
          <w:sz w:val="32"/>
          <w:szCs w:val="32"/>
        </w:rPr>
        <w:t>则</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仿宋" w:hAnsi="仿宋" w:eastAsia="仿宋" w:cs="仿宋"/>
          <w:spacing w:val="5"/>
          <w:sz w:val="32"/>
          <w:szCs w:val="32"/>
        </w:rPr>
      </w:pPr>
      <w:r>
        <w:rPr>
          <w:rFonts w:ascii="黑体" w:hAnsi="黑体" w:eastAsia="黑体" w:cs="黑体"/>
          <w:spacing w:val="5"/>
          <w:sz w:val="32"/>
          <w:szCs w:val="32"/>
        </w:rPr>
        <w:t>第一条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为深入推进“放管服”改革，依法依规、科学合理制定烟草制品零售点合理布局规划，提升烟草专卖行政许可的公开性、公平性和公正性，依据《中华人民共和国行政许可法》《中华人民共和国未成年人保护法》《中华人民共和国烟草专卖法》《中华人民共和国烟草专卖法实施条例》《烟草专卖许可证管理办法》《烟草专卖许可证管理办法实施细则》等法律、法规、规章和国家烟草专卖局的有关规定，结合</w:t>
      </w:r>
      <w:r>
        <w:rPr>
          <w:rFonts w:hint="eastAsia" w:ascii="仿宋_GB2312" w:hAnsi="Times New Roman" w:eastAsia="仿宋_GB2312" w:cs="Times New Roman"/>
          <w:snapToGrid/>
          <w:kern w:val="2"/>
          <w:sz w:val="32"/>
          <w:szCs w:val="32"/>
          <w:lang w:val="en-US" w:eastAsia="zh-Hans"/>
        </w:rPr>
        <w:t>新平</w:t>
      </w:r>
      <w:r>
        <w:rPr>
          <w:rFonts w:hint="eastAsia" w:ascii="仿宋_GB2312" w:hAnsi="Times New Roman" w:eastAsia="仿宋_GB2312" w:cs="Times New Roman"/>
          <w:snapToGrid/>
          <w:kern w:val="2"/>
          <w:sz w:val="32"/>
          <w:szCs w:val="32"/>
          <w:lang w:val="en-US" w:eastAsia="zh-CN"/>
        </w:rPr>
        <w:t>彝族傣族自治</w:t>
      </w:r>
      <w:r>
        <w:rPr>
          <w:rFonts w:hint="eastAsia" w:ascii="仿宋_GB2312" w:hAnsi="Times New Roman" w:eastAsia="仿宋_GB2312" w:cs="Times New Roman"/>
          <w:snapToGrid/>
          <w:kern w:val="2"/>
          <w:sz w:val="32"/>
          <w:szCs w:val="32"/>
          <w:lang w:eastAsia="zh-CN"/>
        </w:rPr>
        <w:t>县实际，制定本规划。</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第二条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本规划适用于</w:t>
      </w:r>
      <w:r>
        <w:rPr>
          <w:rFonts w:hint="eastAsia" w:ascii="仿宋_GB2312" w:hAnsi="Times New Roman" w:eastAsia="仿宋_GB2312" w:cs="Times New Roman"/>
          <w:snapToGrid/>
          <w:kern w:val="2"/>
          <w:sz w:val="32"/>
          <w:szCs w:val="32"/>
          <w:lang w:val="en-US" w:eastAsia="zh-Hans"/>
        </w:rPr>
        <w:t>新平</w:t>
      </w:r>
      <w:r>
        <w:rPr>
          <w:rFonts w:hint="eastAsia" w:ascii="仿宋_GB2312" w:hAnsi="Times New Roman" w:eastAsia="仿宋_GB2312" w:cs="Times New Roman"/>
          <w:snapToGrid/>
          <w:kern w:val="2"/>
          <w:sz w:val="32"/>
          <w:szCs w:val="32"/>
          <w:lang w:val="en-US" w:eastAsia="zh-CN"/>
        </w:rPr>
        <w:t>彝族傣族自治</w:t>
      </w:r>
      <w:r>
        <w:rPr>
          <w:rFonts w:hint="eastAsia" w:ascii="仿宋_GB2312" w:hAnsi="Times New Roman" w:eastAsia="仿宋_GB2312" w:cs="Times New Roman"/>
          <w:snapToGrid/>
          <w:kern w:val="2"/>
          <w:sz w:val="32"/>
          <w:szCs w:val="32"/>
          <w:lang w:val="en-US" w:eastAsia="zh-Hans"/>
        </w:rPr>
        <w:t>县</w:t>
      </w:r>
      <w:r>
        <w:rPr>
          <w:rFonts w:hint="eastAsia" w:ascii="仿宋_GB2312" w:hAnsi="Times New Roman" w:eastAsia="仿宋_GB2312" w:cs="Times New Roman"/>
          <w:snapToGrid/>
          <w:kern w:val="2"/>
          <w:sz w:val="32"/>
          <w:szCs w:val="32"/>
          <w:lang w:eastAsia="zh-CN"/>
        </w:rPr>
        <w:t>行政辖区范围内烟草制品零售点的布局管理。电子烟零售点布局按照《云南省电子烟零售点布局规划》执行。</w:t>
      </w:r>
    </w:p>
    <w:p>
      <w:pPr>
        <w:keepNext w:val="0"/>
        <w:keepLines w:val="0"/>
        <w:pageBreakBefore w:val="0"/>
        <w:widowControl w:val="0"/>
        <w:kinsoku/>
        <w:wordWrap/>
        <w:overflowPunct/>
        <w:topLinePunct w:val="0"/>
        <w:autoSpaceDE/>
        <w:autoSpaceDN/>
        <w:bidi w:val="0"/>
        <w:adjustRightInd w:val="0"/>
        <w:snapToGrid/>
        <w:spacing w:line="336" w:lineRule="auto"/>
        <w:ind w:firstLine="660" w:firstLineChars="200"/>
        <w:jc w:val="both"/>
        <w:textAlignment w:val="auto"/>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第三条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本规划所称烟草制品零售点（以下简称零售点）是指依法取得烟草专卖零售许可证（以下简称零售许可证）的公民、法人或其他组织从事烟草制品零售业务的经营场所。</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零售点应当设置于与住所相独立的固定经营场所，经营场所与住所应当在空间上相互独立，在物理特性上应有实体墙相隔离。经营场所应有指向明确并唯一的门牌、地址或者方位表述，且与营业执照登记注册的经营场所一致，并面向公众经营。</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黑体" w:hAnsi="黑体" w:eastAsia="黑体" w:cs="黑体"/>
          <w:spacing w:val="3"/>
          <w:sz w:val="32"/>
          <w:szCs w:val="32"/>
        </w:rPr>
      </w:pPr>
      <w:r>
        <w:rPr>
          <w:rFonts w:ascii="黑体" w:hAnsi="黑体" w:eastAsia="黑体" w:cs="黑体"/>
          <w:spacing w:val="5"/>
          <w:sz w:val="32"/>
          <w:szCs w:val="32"/>
        </w:rPr>
        <w:t>第四条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本规划遵循依法行政、科学规划、服务社会、均衡发展原则，综合辖区内人口数量、交通状况、经济发展水平、消费能力等因素，对零售点进行科学合理的规划布局。</w:t>
      </w:r>
    </w:p>
    <w:p>
      <w:pPr>
        <w:keepNext w:val="0"/>
        <w:keepLines w:val="0"/>
        <w:pageBreakBefore w:val="0"/>
        <w:widowControl/>
        <w:kinsoku w:val="0"/>
        <w:wordWrap/>
        <w:overflowPunct/>
        <w:topLinePunct w:val="0"/>
        <w:autoSpaceDE w:val="0"/>
        <w:autoSpaceDN w:val="0"/>
        <w:bidi w:val="0"/>
        <w:adjustRightInd w:val="0"/>
        <w:snapToGrid w:val="0"/>
        <w:spacing w:line="336" w:lineRule="auto"/>
        <w:jc w:val="center"/>
        <w:textAlignment w:val="baseline"/>
        <w:outlineLvl w:val="0"/>
        <w:rPr>
          <w:sz w:val="32"/>
          <w:szCs w:val="32"/>
        </w:rPr>
      </w:pPr>
      <w:r>
        <w:rPr>
          <w:rFonts w:ascii="黑体" w:hAnsi="黑体" w:eastAsia="黑体" w:cs="黑体"/>
          <w:spacing w:val="3"/>
          <w:sz w:val="32"/>
          <w:szCs w:val="32"/>
        </w:rPr>
        <w:t>第二章</w:t>
      </w:r>
      <w:r>
        <w:rPr>
          <w:rFonts w:hint="eastAsia" w:ascii="黑体" w:hAnsi="黑体" w:eastAsia="黑体" w:cs="黑体"/>
          <w:spacing w:val="3"/>
          <w:sz w:val="32"/>
          <w:szCs w:val="32"/>
          <w:lang w:val="en-US" w:eastAsia="zh-CN"/>
        </w:rPr>
        <w:t xml:space="preserve">  </w:t>
      </w:r>
      <w:r>
        <w:rPr>
          <w:rFonts w:ascii="黑体" w:hAnsi="黑体" w:eastAsia="黑体" w:cs="黑体"/>
          <w:spacing w:val="3"/>
          <w:sz w:val="32"/>
          <w:szCs w:val="32"/>
        </w:rPr>
        <w:t>零售点布局标准</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第五条</w:t>
      </w:r>
      <w:r>
        <w:rPr>
          <w:rFonts w:hint="eastAsia" w:ascii="黑体" w:hAnsi="黑体" w:eastAsia="黑体" w:cs="黑体"/>
          <w:spacing w:val="5"/>
          <w:sz w:val="32"/>
          <w:szCs w:val="32"/>
          <w:lang w:val="en-US" w:eastAsia="zh-CN"/>
        </w:rPr>
        <w:t xml:space="preserve">  </w:t>
      </w:r>
      <w:r>
        <w:rPr>
          <w:rFonts w:hint="eastAsia" w:ascii="仿宋_GB2312" w:hAnsi="Times New Roman" w:eastAsia="仿宋_GB2312" w:cs="Times New Roman"/>
          <w:snapToGrid/>
          <w:kern w:val="2"/>
          <w:sz w:val="32"/>
          <w:szCs w:val="32"/>
          <w:lang w:val="en-US" w:eastAsia="zh-CN"/>
        </w:rPr>
        <w:t>本章适用于经营范围除“仅为雪茄烟本店零售”以外的卷烟、雪茄烟、消费类烟丝的零售点布局管理。</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黑体" w:hAnsi="黑体" w:eastAsia="黑体" w:cs="黑体"/>
          <w:spacing w:val="5"/>
          <w:sz w:val="32"/>
          <w:szCs w:val="32"/>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六</w:t>
      </w:r>
      <w:r>
        <w:rPr>
          <w:rFonts w:ascii="黑体" w:hAnsi="黑体" w:eastAsia="黑体" w:cs="黑体"/>
          <w:spacing w:val="5"/>
          <w:sz w:val="32"/>
          <w:szCs w:val="32"/>
        </w:rPr>
        <w:t>条</w:t>
      </w:r>
      <w:r>
        <w:rPr>
          <w:rFonts w:ascii="仿宋" w:hAnsi="仿宋" w:eastAsia="仿宋" w:cs="仿宋"/>
          <w:spacing w:val="5"/>
          <w:sz w:val="32"/>
          <w:szCs w:val="32"/>
        </w:rPr>
        <w:t xml:space="preserve"> 零</w:t>
      </w:r>
      <w:r>
        <w:rPr>
          <w:rFonts w:hint="eastAsia" w:ascii="仿宋_GB2312" w:hAnsi="Times New Roman" w:eastAsia="仿宋_GB2312" w:cs="Times New Roman"/>
          <w:snapToGrid/>
          <w:kern w:val="2"/>
          <w:sz w:val="32"/>
          <w:szCs w:val="32"/>
          <w:lang w:eastAsia="zh-CN"/>
        </w:rPr>
        <w:t>售点布局采用数量限制、距离限制、数量限制与距离限制相结合以及不予设置烟草制品零售点等布局标准。</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仿宋" w:hAnsi="仿宋" w:eastAsia="仿宋" w:cs="仿宋"/>
          <w:spacing w:val="5"/>
          <w:sz w:val="32"/>
          <w:szCs w:val="32"/>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七</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根据地域面积、人口数量、交通状况、经济发展水平、居民消费能力、消费购买习惯等因素，合理确定区域零售点规划数，并划定单元网格。单元网格零售点规划数是指单元网格内可设置零售点的数量。总量规划数是指</w:t>
      </w:r>
      <w:r>
        <w:rPr>
          <w:rFonts w:hint="eastAsia" w:ascii="仿宋_GB2312" w:hAnsi="Times New Roman" w:eastAsia="仿宋_GB2312" w:cs="Times New Roman"/>
          <w:snapToGrid/>
          <w:kern w:val="2"/>
          <w:sz w:val="32"/>
          <w:szCs w:val="32"/>
          <w:lang w:val="en-US" w:eastAsia="zh-Hans"/>
        </w:rPr>
        <w:t>新平</w:t>
      </w:r>
      <w:r>
        <w:rPr>
          <w:rFonts w:hint="eastAsia" w:ascii="仿宋_GB2312" w:hAnsi="Times New Roman" w:eastAsia="仿宋_GB2312" w:cs="Times New Roman"/>
          <w:snapToGrid/>
          <w:kern w:val="2"/>
          <w:sz w:val="32"/>
          <w:szCs w:val="32"/>
          <w:lang w:eastAsia="zh-CN"/>
        </w:rPr>
        <w:t>县辖区范围内所有单元网格零售点规划数之和。</w:t>
      </w:r>
    </w:p>
    <w:p>
      <w:pPr>
        <w:keepNext w:val="0"/>
        <w:keepLines w:val="0"/>
        <w:pageBreakBefore w:val="0"/>
        <w:widowControl w:val="0"/>
        <w:kinsoku w:val="0"/>
        <w:wordWrap/>
        <w:overflowPunct/>
        <w:topLinePunct w:val="0"/>
        <w:autoSpaceDE w:val="0"/>
        <w:autoSpaceDN w:val="0"/>
        <w:bidi w:val="0"/>
        <w:adjustRightInd w:val="0"/>
        <w:snapToGrid w:val="0"/>
        <w:spacing w:line="336" w:lineRule="auto"/>
        <w:ind w:left="0" w:leftChars="0" w:right="0" w:rightChars="0" w:firstLine="640" w:firstLineChars="200"/>
        <w:jc w:val="both"/>
        <w:textAlignment w:val="baseline"/>
        <w:outlineLvl w:val="9"/>
        <w:rPr>
          <w:rFonts w:ascii="仿宋" w:hAnsi="仿宋" w:eastAsia="仿宋" w:cs="仿宋"/>
          <w:spacing w:val="5"/>
          <w:sz w:val="32"/>
          <w:szCs w:val="32"/>
        </w:rPr>
      </w:pPr>
      <w:r>
        <w:rPr>
          <w:rFonts w:hint="eastAsia" w:ascii="仿宋_GB2312" w:hAnsi="Times New Roman" w:eastAsia="仿宋_GB2312" w:cs="Times New Roman"/>
          <w:snapToGrid/>
          <w:kern w:val="2"/>
          <w:sz w:val="32"/>
          <w:szCs w:val="32"/>
          <w:lang w:eastAsia="zh-CN"/>
        </w:rPr>
        <w:t>除本章规定的特殊区域外，单元网格内零售点数量达到规划数时，该单元网格不予新设零售点。</w:t>
      </w:r>
    </w:p>
    <w:p>
      <w:pPr>
        <w:keepNext w:val="0"/>
        <w:keepLines w:val="0"/>
        <w:pageBreakBefore w:val="0"/>
        <w:widowControl w:val="0"/>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八</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根据零售市场状态、交通状况、人口热度、消费购买习惯等因素，合理确定零售点间距。零售点间距是指申请人拟从事烟草制品零售业务的经营场所与最近的烟草制品零售点之间的距离。测量的总体原则为两个零售点“门边到门边”可安全步行的最短距离。测量规则及标准详见《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县烟草制品零售点间距测量规则及标准》（附件</w:t>
      </w:r>
      <w:r>
        <w:rPr>
          <w:rFonts w:hint="eastAsia" w:asciiTheme="minorEastAsia" w:hAnsiTheme="minorEastAsia" w:eastAsiaTheme="minorEastAsia" w:cstheme="minorEastAsia"/>
          <w:snapToGrid/>
          <w:kern w:val="2"/>
          <w:sz w:val="32"/>
          <w:szCs w:val="32"/>
          <w:lang w:eastAsia="zh-CN"/>
        </w:rPr>
        <w:t>1</w:t>
      </w:r>
      <w:r>
        <w:rPr>
          <w:rFonts w:hint="eastAsia" w:ascii="仿宋_GB2312" w:hAnsi="Times New Roman" w:eastAsia="仿宋_GB2312" w:cs="Times New Roman"/>
          <w:snapToGrid/>
          <w:kern w:val="2"/>
          <w:sz w:val="32"/>
          <w:szCs w:val="32"/>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仿宋" w:hAnsi="仿宋" w:eastAsia="仿宋" w:cs="仿宋"/>
          <w:spacing w:val="5"/>
          <w:sz w:val="32"/>
          <w:szCs w:val="32"/>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九</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火车站、汽车站等相对封闭的内部等候区，可设置</w:t>
      </w:r>
      <w:r>
        <w:rPr>
          <w:rFonts w:hint="eastAsia" w:ascii="仿宋_GB2312" w:hAnsi="Times New Roman" w:eastAsia="仿宋_GB2312" w:cs="Times New Roman"/>
          <w:snapToGrid/>
          <w:kern w:val="2"/>
          <w:sz w:val="32"/>
          <w:szCs w:val="32"/>
          <w:lang w:val="en-US" w:eastAsia="zh-CN"/>
        </w:rPr>
        <w:t>1</w:t>
      </w:r>
      <w:r>
        <w:rPr>
          <w:rFonts w:hint="eastAsia" w:ascii="仿宋_GB2312" w:hAnsi="Times New Roman" w:eastAsia="仿宋_GB2312" w:cs="Times New Roman"/>
          <w:snapToGrid/>
          <w:kern w:val="2"/>
          <w:sz w:val="32"/>
          <w:szCs w:val="32"/>
          <w:lang w:eastAsia="zh-CN"/>
        </w:rPr>
        <w:t>个零售点，不受单元网格规划数及总量规划数限制。</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十</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部队、监狱、看守所、戒毒所等封闭式特殊区域，可设置</w:t>
      </w:r>
      <w:r>
        <w:rPr>
          <w:rFonts w:hint="eastAsia" w:ascii="仿宋_GB2312" w:hAnsi="Times New Roman" w:eastAsia="仿宋_GB2312" w:cs="Times New Roman"/>
          <w:snapToGrid/>
          <w:kern w:val="2"/>
          <w:sz w:val="32"/>
          <w:szCs w:val="32"/>
          <w:lang w:val="en-US" w:eastAsia="zh-CN"/>
        </w:rPr>
        <w:t>1</w:t>
      </w:r>
      <w:r>
        <w:rPr>
          <w:rFonts w:hint="eastAsia" w:ascii="仿宋_GB2312" w:hAnsi="Times New Roman" w:eastAsia="仿宋_GB2312" w:cs="Times New Roman"/>
          <w:snapToGrid/>
          <w:kern w:val="2"/>
          <w:sz w:val="32"/>
          <w:szCs w:val="32"/>
          <w:lang w:eastAsia="zh-CN"/>
        </w:rPr>
        <w:t>个零售点，不受单元网格规划数及总量规划数限制。</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40" w:firstLineChars="200"/>
        <w:jc w:val="both"/>
        <w:textAlignment w:val="baseline"/>
        <w:outlineLvl w:val="9"/>
        <w:rPr>
          <w:rFonts w:ascii="仿宋" w:hAnsi="仿宋" w:eastAsia="仿宋" w:cs="仿宋"/>
          <w:spacing w:val="5"/>
          <w:sz w:val="32"/>
          <w:szCs w:val="32"/>
        </w:rPr>
      </w:pPr>
      <w:r>
        <w:rPr>
          <w:rFonts w:hint="eastAsia" w:ascii="仿宋_GB2312" w:hAnsi="Times New Roman" w:eastAsia="仿宋_GB2312" w:cs="Times New Roman"/>
          <w:snapToGrid/>
          <w:kern w:val="2"/>
          <w:sz w:val="32"/>
          <w:szCs w:val="32"/>
          <w:lang w:eastAsia="zh-CN"/>
        </w:rPr>
        <w:t>高速公路单侧加油站（含服务区）,可设置</w:t>
      </w:r>
      <w:r>
        <w:rPr>
          <w:rFonts w:hint="eastAsia" w:ascii="仿宋_GB2312" w:hAnsi="Times New Roman" w:eastAsia="仿宋_GB2312" w:cs="Times New Roman"/>
          <w:snapToGrid/>
          <w:kern w:val="2"/>
          <w:sz w:val="32"/>
          <w:szCs w:val="32"/>
          <w:lang w:val="en-US" w:eastAsia="zh-CN"/>
        </w:rPr>
        <w:t>1</w:t>
      </w:r>
      <w:r>
        <w:rPr>
          <w:rFonts w:hint="eastAsia" w:ascii="仿宋_GB2312" w:hAnsi="Times New Roman" w:eastAsia="仿宋_GB2312" w:cs="Times New Roman"/>
          <w:snapToGrid/>
          <w:kern w:val="2"/>
          <w:sz w:val="32"/>
          <w:szCs w:val="32"/>
          <w:lang w:eastAsia="zh-CN"/>
        </w:rPr>
        <w:t>个零售点，不受单元网格规划数及总量规划数限制。</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黑体" w:hAnsi="黑体" w:eastAsia="黑体" w:cs="黑体"/>
          <w:spacing w:val="3"/>
          <w:sz w:val="32"/>
          <w:szCs w:val="32"/>
        </w:rPr>
      </w:pPr>
      <w:r>
        <w:rPr>
          <w:rFonts w:hint="eastAsia" w:ascii="黑体" w:hAnsi="黑体" w:eastAsia="黑体" w:cs="黑体"/>
          <w:spacing w:val="5"/>
          <w:sz w:val="32"/>
          <w:szCs w:val="32"/>
          <w:lang w:val="en-US" w:eastAsia="zh-CN"/>
        </w:rPr>
        <w:t>第十一条</w:t>
      </w:r>
      <w:r>
        <w:rPr>
          <w:rFonts w:hint="default" w:ascii="仿宋" w:hAnsi="仿宋" w:eastAsia="仿宋" w:cs="仿宋"/>
          <w:spacing w:val="5"/>
          <w:sz w:val="32"/>
          <w:szCs w:val="32"/>
          <w:lang w:eastAsia="zh-CN"/>
        </w:rPr>
        <w:t xml:space="preserve"> </w:t>
      </w:r>
      <w:r>
        <w:rPr>
          <w:rFonts w:hint="eastAsia" w:ascii="仿宋_GB2312" w:hAnsi="Times New Roman" w:eastAsia="仿宋_GB2312" w:cs="Times New Roman"/>
          <w:snapToGrid/>
          <w:kern w:val="2"/>
          <w:sz w:val="32"/>
          <w:szCs w:val="32"/>
          <w:lang w:eastAsia="zh-CN"/>
        </w:rPr>
        <w:t>本县零售点合理布局规划数及规划区域、单元网格等情况详见《云南省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县烟草制品零售点合理布局公示表》（附件2）及《</w:t>
      </w:r>
      <w:r>
        <w:rPr>
          <w:rFonts w:hint="eastAsia" w:ascii="仿宋_GB2312" w:hAnsi="Times New Roman" w:eastAsia="仿宋_GB2312" w:cs="Times New Roman"/>
          <w:snapToGrid/>
          <w:kern w:val="2"/>
          <w:sz w:val="32"/>
          <w:szCs w:val="32"/>
          <w:lang w:val="en-US" w:eastAsia="zh-Hans"/>
        </w:rPr>
        <w:t>云南省新平彝族傣族自治县烟草制品零售点合理布局网格示意图</w:t>
      </w:r>
      <w:r>
        <w:rPr>
          <w:rFonts w:hint="eastAsia" w:ascii="仿宋_GB2312" w:hAnsi="Times New Roman" w:eastAsia="仿宋_GB2312" w:cs="Times New Roman"/>
          <w:snapToGrid/>
          <w:kern w:val="2"/>
          <w:sz w:val="32"/>
          <w:szCs w:val="32"/>
          <w:lang w:eastAsia="zh-CN"/>
        </w:rPr>
        <w:t>》（附件3）。</w:t>
      </w:r>
    </w:p>
    <w:p>
      <w:pPr>
        <w:keepNext w:val="0"/>
        <w:keepLines w:val="0"/>
        <w:pageBreakBefore w:val="0"/>
        <w:widowControl/>
        <w:kinsoku w:val="0"/>
        <w:wordWrap/>
        <w:overflowPunct/>
        <w:topLinePunct w:val="0"/>
        <w:autoSpaceDE w:val="0"/>
        <w:autoSpaceDN w:val="0"/>
        <w:bidi w:val="0"/>
        <w:adjustRightInd w:val="0"/>
        <w:snapToGrid w:val="0"/>
        <w:spacing w:line="336" w:lineRule="auto"/>
        <w:jc w:val="center"/>
        <w:textAlignment w:val="baseline"/>
        <w:outlineLvl w:val="0"/>
        <w:rPr>
          <w:sz w:val="32"/>
          <w:szCs w:val="32"/>
        </w:rPr>
      </w:pPr>
      <w:r>
        <w:rPr>
          <w:rFonts w:ascii="黑体" w:hAnsi="黑体" w:eastAsia="黑体" w:cs="黑体"/>
          <w:spacing w:val="3"/>
          <w:sz w:val="32"/>
          <w:szCs w:val="32"/>
        </w:rPr>
        <w:t>第</w:t>
      </w:r>
      <w:r>
        <w:rPr>
          <w:rFonts w:hint="eastAsia" w:ascii="黑体" w:hAnsi="黑体" w:eastAsia="黑体" w:cs="黑体"/>
          <w:spacing w:val="3"/>
          <w:sz w:val="32"/>
          <w:szCs w:val="32"/>
          <w:lang w:eastAsia="zh-CN"/>
        </w:rPr>
        <w:t>三</w:t>
      </w:r>
      <w:r>
        <w:rPr>
          <w:rFonts w:ascii="黑体" w:hAnsi="黑体" w:eastAsia="黑体" w:cs="黑体"/>
          <w:spacing w:val="3"/>
          <w:sz w:val="32"/>
          <w:szCs w:val="32"/>
        </w:rPr>
        <w:t>章</w:t>
      </w:r>
      <w:r>
        <w:rPr>
          <w:rFonts w:hint="eastAsia" w:ascii="黑体" w:hAnsi="黑体" w:eastAsia="黑体" w:cs="黑体"/>
          <w:spacing w:val="3"/>
          <w:sz w:val="32"/>
          <w:szCs w:val="32"/>
          <w:lang w:val="en-US" w:eastAsia="zh-CN"/>
        </w:rPr>
        <w:t xml:space="preserve">  </w:t>
      </w:r>
      <w:r>
        <w:rPr>
          <w:rFonts w:hint="eastAsia" w:ascii="黑体" w:hAnsi="黑体" w:eastAsia="黑体" w:cs="黑体"/>
          <w:spacing w:val="3"/>
          <w:sz w:val="32"/>
          <w:szCs w:val="32"/>
        </w:rPr>
        <w:t>雪茄烟专营零售点布局标准</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360" w:lineRule="auto"/>
        <w:ind w:right="0" w:rightChars="0" w:firstLine="660" w:firstLineChars="200"/>
        <w:jc w:val="left"/>
        <w:textAlignment w:val="baseline"/>
        <w:rPr>
          <w:rFonts w:hint="eastAsia" w:ascii="仿宋_GB2312" w:hAnsi="Times New Roman" w:eastAsia="仿宋_GB2312" w:cs="Times New Roman"/>
          <w:snapToGrid/>
          <w:kern w:val="2"/>
          <w:sz w:val="32"/>
          <w:szCs w:val="32"/>
          <w:lang w:eastAsia="zh-CN"/>
        </w:rPr>
      </w:pPr>
      <w:r>
        <w:rPr>
          <w:rFonts w:hint="eastAsia" w:ascii="黑体" w:hAnsi="黑体" w:eastAsia="黑体" w:cs="黑体"/>
          <w:spacing w:val="5"/>
          <w:sz w:val="32"/>
          <w:szCs w:val="32"/>
          <w:lang w:val="en-US" w:eastAsia="zh-CN"/>
        </w:rPr>
        <w:t>第十二条</w:t>
      </w:r>
      <w:r>
        <w:rPr>
          <w:rFonts w:hint="eastAsia" w:ascii="方正仿宋_GB2312" w:hAnsi="方正仿宋_GB2312" w:eastAsia="方正仿宋_GB2312" w:cs="方正仿宋_GB2312"/>
          <w:color w:val="FF0000"/>
          <w:sz w:val="32"/>
          <w:szCs w:val="32"/>
          <w:lang w:val="en-US" w:eastAsia="zh-CN"/>
        </w:rPr>
        <w:t xml:space="preserve"> </w:t>
      </w:r>
      <w:r>
        <w:rPr>
          <w:rFonts w:hint="eastAsia" w:ascii="仿宋_GB2312" w:hAnsi="Times New Roman" w:eastAsia="仿宋_GB2312" w:cs="Times New Roman"/>
          <w:snapToGrid/>
          <w:kern w:val="2"/>
          <w:sz w:val="32"/>
          <w:szCs w:val="32"/>
          <w:lang w:eastAsia="zh-CN"/>
        </w:rPr>
        <w:t>本章适用于</w:t>
      </w:r>
      <w:r>
        <w:rPr>
          <w:rFonts w:hint="eastAsia" w:ascii="仿宋_GB2312" w:hAnsi="Times New Roman" w:eastAsia="仿宋_GB2312" w:cs="Times New Roman"/>
          <w:snapToGrid/>
          <w:kern w:val="2"/>
          <w:sz w:val="32"/>
          <w:szCs w:val="32"/>
          <w:lang w:val="en-US" w:eastAsia="zh-CN"/>
        </w:rPr>
        <w:t>经营范围仅为</w:t>
      </w:r>
      <w:r>
        <w:rPr>
          <w:rFonts w:hint="eastAsia" w:ascii="仿宋_GB2312" w:hAnsi="Times New Roman" w:eastAsia="仿宋_GB2312" w:cs="Times New Roman"/>
          <w:snapToGrid/>
          <w:kern w:val="2"/>
          <w:sz w:val="32"/>
          <w:szCs w:val="32"/>
          <w:lang w:eastAsia="zh-CN"/>
        </w:rPr>
        <w:t>雪茄烟</w:t>
      </w:r>
      <w:r>
        <w:rPr>
          <w:rFonts w:hint="eastAsia" w:ascii="仿宋_GB2312" w:hAnsi="Times New Roman" w:eastAsia="仿宋_GB2312" w:cs="Times New Roman"/>
          <w:snapToGrid/>
          <w:kern w:val="2"/>
          <w:sz w:val="32"/>
          <w:szCs w:val="32"/>
          <w:lang w:val="en-US" w:eastAsia="zh-CN"/>
        </w:rPr>
        <w:t>本店零售的零售点布局管理</w:t>
      </w:r>
      <w:r>
        <w:rPr>
          <w:rFonts w:hint="eastAsia" w:ascii="仿宋_GB2312" w:hAnsi="Times New Roman" w:eastAsia="仿宋_GB2312" w:cs="Times New Roman"/>
          <w:snapToGrid/>
          <w:kern w:val="2"/>
          <w:sz w:val="32"/>
          <w:szCs w:val="32"/>
          <w:lang w:eastAsia="zh-CN"/>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360" w:lineRule="auto"/>
        <w:ind w:right="0" w:rightChars="0" w:firstLine="660" w:firstLineChars="200"/>
        <w:jc w:val="left"/>
        <w:textAlignment w:val="baseline"/>
        <w:rPr>
          <w:rFonts w:hint="eastAsia" w:ascii="方正仿宋_GB2312" w:hAnsi="方正仿宋_GB2312" w:eastAsia="方正仿宋_GB2312" w:cs="方正仿宋_GB2312"/>
          <w:color w:val="FF0000"/>
          <w:spacing w:val="10"/>
          <w:sz w:val="32"/>
          <w:szCs w:val="32"/>
        </w:rPr>
      </w:pPr>
      <w:r>
        <w:rPr>
          <w:rFonts w:hint="eastAsia" w:ascii="黑体" w:hAnsi="黑体" w:eastAsia="黑体" w:cs="黑体"/>
          <w:spacing w:val="5"/>
          <w:sz w:val="32"/>
          <w:szCs w:val="32"/>
          <w:lang w:val="en-US" w:eastAsia="zh-CN"/>
        </w:rPr>
        <w:t>第十三条</w:t>
      </w:r>
      <w:r>
        <w:rPr>
          <w:rFonts w:hint="eastAsia" w:ascii="方正仿宋_GB2312" w:hAnsi="方正仿宋_GB2312" w:eastAsia="方正仿宋_GB2312" w:cs="方正仿宋_GB2312"/>
          <w:color w:val="FF0000"/>
          <w:spacing w:val="10"/>
          <w:sz w:val="32"/>
          <w:szCs w:val="32"/>
          <w:lang w:val="en-US" w:eastAsia="zh-CN"/>
        </w:rPr>
        <w:t xml:space="preserve"> </w:t>
      </w:r>
      <w:r>
        <w:rPr>
          <w:rFonts w:hint="eastAsia" w:ascii="仿宋_GB2312" w:hAnsi="Times New Roman" w:eastAsia="仿宋_GB2312" w:cs="Times New Roman"/>
          <w:snapToGrid/>
          <w:kern w:val="2"/>
          <w:sz w:val="32"/>
          <w:szCs w:val="32"/>
          <w:lang w:eastAsia="zh-CN"/>
        </w:rPr>
        <w:t>雪茄烟专营零售点数量实行总量控制、动态调整模式，</w:t>
      </w:r>
      <w:r>
        <w:rPr>
          <w:rFonts w:hint="eastAsia" w:ascii="仿宋_GB2312" w:hAnsi="Times New Roman" w:eastAsia="仿宋_GB2312" w:cs="Times New Roman"/>
          <w:snapToGrid/>
          <w:kern w:val="2"/>
          <w:sz w:val="32"/>
          <w:szCs w:val="32"/>
          <w:lang w:val="en-US" w:eastAsia="zh-CN"/>
        </w:rPr>
        <w:t>且不受其他烟草制品零售点、电子烟零售点距离限制，</w:t>
      </w:r>
      <w:r>
        <w:rPr>
          <w:rFonts w:hint="eastAsia" w:ascii="仿宋_GB2312" w:hAnsi="Times New Roman" w:eastAsia="仿宋_GB2312" w:cs="Times New Roman"/>
          <w:snapToGrid/>
          <w:kern w:val="2"/>
          <w:sz w:val="32"/>
          <w:szCs w:val="32"/>
          <w:lang w:eastAsia="zh-CN"/>
        </w:rPr>
        <w:t>规划数详见《云南省新平彝族傣族自治县雪茄烟专营零售点合理布局公示表》（</w:t>
      </w:r>
      <w:r>
        <w:rPr>
          <w:rFonts w:hint="eastAsia" w:ascii="仿宋_GB2312" w:hAnsi="Times New Roman" w:eastAsia="仿宋_GB2312" w:cs="Times New Roman"/>
          <w:snapToGrid/>
          <w:kern w:val="2"/>
          <w:sz w:val="32"/>
          <w:szCs w:val="32"/>
          <w:lang w:val="en-US" w:eastAsia="zh-CN"/>
        </w:rPr>
        <w:t>附件4</w:t>
      </w:r>
      <w:r>
        <w:rPr>
          <w:rFonts w:hint="eastAsia" w:ascii="仿宋_GB2312" w:hAnsi="Times New Roman" w:eastAsia="仿宋_GB2312" w:cs="Times New Roman"/>
          <w:snapToGrid/>
          <w:kern w:val="2"/>
          <w:sz w:val="32"/>
          <w:szCs w:val="32"/>
          <w:lang w:eastAsia="zh-CN"/>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360" w:lineRule="auto"/>
        <w:ind w:right="0" w:rightChars="0" w:firstLine="660" w:firstLineChars="200"/>
        <w:jc w:val="left"/>
        <w:textAlignment w:val="baseline"/>
        <w:rPr>
          <w:rFonts w:hint="eastAsia" w:ascii="黑体" w:hAnsi="黑体" w:eastAsia="黑体" w:cs="黑体"/>
          <w:snapToGrid w:val="0"/>
          <w:color w:val="000000"/>
          <w:spacing w:val="3"/>
          <w:kern w:val="0"/>
          <w:sz w:val="32"/>
          <w:szCs w:val="32"/>
          <w:lang w:val="en-US" w:eastAsia="zh-CN" w:bidi="ar-SA"/>
        </w:rPr>
      </w:pPr>
      <w:r>
        <w:rPr>
          <w:rFonts w:hint="eastAsia" w:ascii="黑体" w:hAnsi="黑体" w:eastAsia="黑体" w:cs="黑体"/>
          <w:spacing w:val="5"/>
          <w:sz w:val="32"/>
          <w:szCs w:val="32"/>
          <w:lang w:val="en-US" w:eastAsia="zh-CN"/>
        </w:rPr>
        <w:t>第十四条</w:t>
      </w:r>
      <w:r>
        <w:rPr>
          <w:rFonts w:hint="eastAsia" w:ascii="方正仿宋_GB2312" w:hAnsi="方正仿宋_GB2312" w:eastAsia="方正仿宋_GB2312" w:cs="方正仿宋_GB2312"/>
          <w:color w:val="FF0000"/>
          <w:sz w:val="32"/>
          <w:szCs w:val="32"/>
          <w:lang w:val="en-US" w:eastAsia="zh-CN"/>
        </w:rPr>
        <w:t xml:space="preserve"> </w:t>
      </w:r>
      <w:r>
        <w:rPr>
          <w:rFonts w:hint="eastAsia" w:ascii="仿宋_GB2312" w:hAnsi="Times New Roman" w:eastAsia="仿宋_GB2312" w:cs="Times New Roman"/>
          <w:snapToGrid/>
          <w:kern w:val="2"/>
          <w:sz w:val="32"/>
          <w:szCs w:val="32"/>
          <w:lang w:eastAsia="zh-CN"/>
        </w:rPr>
        <w:t>取得雪茄烟本店零售许可的经营主体如需变更许可范围的，必须满足本规划</w:t>
      </w:r>
      <w:r>
        <w:rPr>
          <w:rFonts w:hint="eastAsia" w:ascii="仿宋_GB2312" w:hAnsi="Times New Roman" w:eastAsia="仿宋_GB2312" w:cs="Times New Roman"/>
          <w:snapToGrid/>
          <w:kern w:val="2"/>
          <w:sz w:val="32"/>
          <w:szCs w:val="32"/>
          <w:lang w:val="en-US" w:eastAsia="zh-CN"/>
        </w:rPr>
        <w:t>及《云南省电子烟零售点布局规划》</w:t>
      </w:r>
      <w:r>
        <w:rPr>
          <w:rFonts w:hint="eastAsia" w:ascii="仿宋_GB2312" w:hAnsi="Times New Roman" w:eastAsia="仿宋_GB2312" w:cs="Times New Roman"/>
          <w:snapToGrid/>
          <w:kern w:val="2"/>
          <w:sz w:val="32"/>
          <w:szCs w:val="32"/>
          <w:lang w:eastAsia="zh-CN"/>
        </w:rPr>
        <w:t>相关条件并按照有关规定办理。</w:t>
      </w:r>
    </w:p>
    <w:p>
      <w:pPr>
        <w:pStyle w:val="7"/>
        <w:keepNext w:val="0"/>
        <w:keepLines w:val="0"/>
        <w:pageBreakBefore w:val="0"/>
        <w:widowControl w:val="0"/>
        <w:numPr>
          <w:ilvl w:val="0"/>
          <w:numId w:val="0"/>
        </w:numPr>
        <w:kinsoku/>
        <w:wordWrap/>
        <w:overflowPunct/>
        <w:topLinePunct w:val="0"/>
        <w:autoSpaceDE/>
        <w:autoSpaceDN/>
        <w:bidi w:val="0"/>
        <w:adjustRightInd/>
        <w:snapToGrid w:val="0"/>
        <w:spacing w:before="157" w:beforeLines="50" w:after="0" w:line="360" w:lineRule="auto"/>
        <w:ind w:leftChars="0"/>
        <w:jc w:val="center"/>
        <w:textAlignment w:val="baseline"/>
        <w:rPr>
          <w:rFonts w:ascii="黑体" w:hAnsi="黑体" w:eastAsia="黑体" w:cs="黑体"/>
          <w:spacing w:val="5"/>
          <w:sz w:val="32"/>
          <w:szCs w:val="32"/>
        </w:rPr>
      </w:pPr>
      <w:r>
        <w:rPr>
          <w:rFonts w:hint="eastAsia" w:ascii="黑体" w:hAnsi="黑体" w:eastAsia="黑体" w:cs="黑体"/>
          <w:snapToGrid w:val="0"/>
          <w:color w:val="000000"/>
          <w:spacing w:val="3"/>
          <w:kern w:val="0"/>
          <w:sz w:val="32"/>
          <w:szCs w:val="32"/>
          <w:lang w:val="en-US" w:eastAsia="zh-CN" w:bidi="ar-SA"/>
        </w:rPr>
        <w:t>第四章 放宽及限制情形</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第十</w:t>
      </w:r>
      <w:r>
        <w:rPr>
          <w:rFonts w:hint="eastAsia" w:ascii="黑体" w:hAnsi="黑体" w:eastAsia="黑体" w:cs="黑体"/>
          <w:spacing w:val="5"/>
          <w:sz w:val="32"/>
          <w:szCs w:val="32"/>
          <w:lang w:eastAsia="zh-CN"/>
        </w:rPr>
        <w:t>五</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具有下列情形之一的，不予发放烟草专卖零售许可证：</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（一）申请人为无民事行为能力人或者限制行为能力人的</w:t>
      </w:r>
      <w:r>
        <w:rPr>
          <w:rFonts w:hint="eastAsia" w:ascii="仿宋_GB2312" w:hAnsi="Times New Roman" w:eastAsia="仿宋_GB2312" w:cs="Times New Roman"/>
          <w:snapToGrid/>
          <w:kern w:val="2"/>
          <w:sz w:val="32"/>
          <w:szCs w:val="32"/>
          <w:lang w:eastAsia="zh-Hans"/>
        </w:rPr>
        <w:t>；</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（二）申请人隐瞒有关情况或提供虚假材料的；因隐瞒有关情况或者提供虚假材料，烟草专卖局作出不予受理或者不予发证决定后，申请人一年内再次提出申请的</w:t>
      </w:r>
      <w:r>
        <w:rPr>
          <w:rFonts w:hint="eastAsia" w:ascii="仿宋_GB2312" w:hAnsi="Times New Roman" w:eastAsia="仿宋_GB2312" w:cs="Times New Roman"/>
          <w:snapToGrid/>
          <w:kern w:val="2"/>
          <w:sz w:val="32"/>
          <w:szCs w:val="32"/>
          <w:lang w:eastAsia="zh-Hans"/>
        </w:rPr>
        <w:t>；</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三）被取消从事烟草专卖业务资格不满三年的；未领取烟草专卖零售许可证经营烟草专卖品业务，并且一年内被执法机关处罚两次以上，在三年内申请领取烟草专卖零售许可证的；因未领取烟草专卖零售许可证经营烟草专卖品业务被追究刑事责任，在三年内申请领取烟草专卖零售许可证的</w:t>
      </w:r>
      <w:r>
        <w:rPr>
          <w:rFonts w:hint="eastAsia" w:ascii="仿宋_GB2312" w:hAnsi="Times New Roman" w:eastAsia="仿宋_GB2312" w:cs="Times New Roman"/>
          <w:snapToGrid/>
          <w:kern w:val="2"/>
          <w:sz w:val="32"/>
          <w:szCs w:val="32"/>
          <w:lang w:eastAsia="zh-Hans"/>
        </w:rPr>
        <w:t>；</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（四）外商投资的商业企业或者个体工商户，但有外资成分以提供住宿、餐饮、休闲、娱乐为主要经营的宾馆、酒店等属于娱乐服务类的企业除外</w:t>
      </w:r>
      <w:r>
        <w:rPr>
          <w:rFonts w:hint="eastAsia" w:ascii="仿宋_GB2312" w:hAnsi="Times New Roman" w:eastAsia="仿宋_GB2312" w:cs="Times New Roman"/>
          <w:snapToGrid/>
          <w:kern w:val="2"/>
          <w:sz w:val="32"/>
          <w:szCs w:val="32"/>
          <w:lang w:eastAsia="zh-Hans"/>
        </w:rPr>
        <w:t>；</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（五）无固定经营场所的：包括但不限于流动的摊、点、车、棚、简易板房、活动板房、临时占道的建筑等；</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（六）经营场所与住所不相独立的：包括但不限于经营场所为与住所可连通通行的客厅、餐厅、卧室、阳台、地下室、车库、储藏室等或居民楼内公用通道、楼梯间等；</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（七）经营场所已经办理了仍在有效期内的烟草专卖零售许可证的</w:t>
      </w:r>
      <w:r>
        <w:rPr>
          <w:rFonts w:hint="eastAsia" w:ascii="仿宋_GB2312" w:hAnsi="Times New Roman" w:eastAsia="仿宋_GB2312" w:cs="Times New Roman"/>
          <w:snapToGrid/>
          <w:kern w:val="2"/>
          <w:sz w:val="32"/>
          <w:szCs w:val="32"/>
          <w:lang w:eastAsia="zh-Hans"/>
        </w:rPr>
        <w:t>；</w:t>
      </w:r>
      <w:r>
        <w:rPr>
          <w:rFonts w:hint="eastAsia" w:ascii="仿宋_GB2312" w:hAnsi="Times New Roman" w:eastAsia="仿宋_GB2312" w:cs="Times New Roman"/>
          <w:snapToGrid/>
          <w:kern w:val="2"/>
          <w:sz w:val="32"/>
          <w:szCs w:val="32"/>
          <w:lang w:eastAsia="zh-CN"/>
        </w:rPr>
        <w:t>经营场所位于党政机关内部的</w:t>
      </w:r>
      <w:r>
        <w:rPr>
          <w:rFonts w:hint="eastAsia" w:ascii="仿宋_GB2312" w:hAnsi="Times New Roman" w:eastAsia="仿宋_GB2312" w:cs="Times New Roman"/>
          <w:snapToGrid/>
          <w:kern w:val="2"/>
          <w:sz w:val="32"/>
          <w:szCs w:val="32"/>
          <w:lang w:eastAsia="zh-Hans"/>
        </w:rPr>
        <w:t>；</w:t>
      </w:r>
      <w:r>
        <w:rPr>
          <w:rFonts w:hint="eastAsia" w:ascii="仿宋_GB2312" w:hAnsi="Times New Roman" w:eastAsia="仿宋_GB2312" w:cs="Times New Roman"/>
          <w:snapToGrid/>
          <w:kern w:val="2"/>
          <w:sz w:val="32"/>
          <w:szCs w:val="32"/>
          <w:lang w:eastAsia="zh-CN"/>
        </w:rPr>
        <w:t>经营场所基于安全因素不适宜经营卷烟的；</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（八）城区区域中小学校、幼儿园学生正常出入的校门口（含通道）</w:t>
      </w:r>
      <w:r>
        <w:rPr>
          <w:rFonts w:hint="eastAsia" w:ascii="仿宋_GB2312" w:hAnsi="Times New Roman" w:eastAsia="仿宋_GB2312" w:cs="Times New Roman"/>
          <w:snapToGrid/>
          <w:kern w:val="2"/>
          <w:sz w:val="32"/>
          <w:szCs w:val="32"/>
          <w:lang w:val="en-US" w:eastAsia="zh-CN"/>
        </w:rPr>
        <w:t>80</w:t>
      </w:r>
      <w:r>
        <w:rPr>
          <w:rFonts w:hint="eastAsia" w:ascii="仿宋_GB2312" w:hAnsi="Times New Roman" w:eastAsia="仿宋_GB2312" w:cs="Times New Roman"/>
          <w:snapToGrid/>
          <w:kern w:val="2"/>
          <w:sz w:val="32"/>
          <w:szCs w:val="32"/>
          <w:lang w:eastAsia="zh-CN"/>
        </w:rPr>
        <w:t>米以内，乡镇及乡镇以下区域中小学校、幼儿园学生正常出入的校门口（含通道）</w:t>
      </w:r>
      <w:r>
        <w:rPr>
          <w:rFonts w:hint="eastAsia" w:ascii="仿宋_GB2312" w:hAnsi="Times New Roman" w:eastAsia="仿宋_GB2312" w:cs="Times New Roman"/>
          <w:snapToGrid/>
          <w:kern w:val="2"/>
          <w:sz w:val="32"/>
          <w:szCs w:val="32"/>
          <w:lang w:val="en-US" w:eastAsia="zh-CN"/>
        </w:rPr>
        <w:t>30</w:t>
      </w:r>
      <w:r>
        <w:rPr>
          <w:rFonts w:hint="eastAsia" w:ascii="仿宋_GB2312" w:hAnsi="Times New Roman" w:eastAsia="仿宋_GB2312" w:cs="Times New Roman"/>
          <w:snapToGrid/>
          <w:kern w:val="2"/>
          <w:sz w:val="32"/>
          <w:szCs w:val="32"/>
          <w:lang w:eastAsia="zh-CN"/>
        </w:rPr>
        <w:t>米以内；</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（九）利用自动售货机或者其他自动售货形式，销售或者变相销售烟草制品的，或者通过信息网络销售烟草专卖品的</w:t>
      </w:r>
      <w:r>
        <w:rPr>
          <w:rFonts w:hint="eastAsia" w:ascii="仿宋_GB2312" w:hAnsi="Times New Roman" w:eastAsia="仿宋_GB2312" w:cs="Times New Roman"/>
          <w:snapToGrid/>
          <w:kern w:val="2"/>
          <w:sz w:val="32"/>
          <w:szCs w:val="32"/>
          <w:lang w:eastAsia="zh-Hans"/>
        </w:rPr>
        <w:t>；</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（十）经营业态存在容易诱导未成年人关注、购买、吸食卷烟或其他不利于未成年人保护的；经营业态专业性较强，且与烟草制品零售业务没有直接或间接互补营销关系的；</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val="en-US" w:eastAsia="zh-CN"/>
        </w:rPr>
        <w:t>（十一）法律、法规、规</w:t>
      </w:r>
      <w:r>
        <w:rPr>
          <w:rFonts w:hint="eastAsia" w:ascii="仿宋_GB2312" w:hAnsi="Times New Roman" w:eastAsia="仿宋_GB2312" w:cs="Times New Roman"/>
          <w:snapToGrid/>
          <w:kern w:val="2"/>
          <w:sz w:val="32"/>
          <w:szCs w:val="32"/>
          <w:lang w:eastAsia="zh-CN"/>
        </w:rPr>
        <w:t>章、规范性文件等规定的其他不予许可的情形。</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val="en-US" w:eastAsia="zh-CN"/>
        </w:rPr>
      </w:pPr>
      <w:r>
        <w:rPr>
          <w:rFonts w:hint="eastAsia" w:ascii="黑体" w:hAnsi="黑体" w:eastAsia="黑体" w:cs="黑体"/>
          <w:spacing w:val="5"/>
          <w:sz w:val="32"/>
          <w:szCs w:val="32"/>
          <w:lang w:val="en-US" w:eastAsia="zh-CN"/>
        </w:rPr>
        <w:t>第十六条</w:t>
      </w:r>
      <w:r>
        <w:rPr>
          <w:rFonts w:hint="default" w:ascii="仿宋" w:hAnsi="仿宋" w:eastAsia="仿宋" w:cs="仿宋"/>
          <w:spacing w:val="5"/>
          <w:sz w:val="32"/>
          <w:szCs w:val="32"/>
          <w:lang w:eastAsia="zh-CN"/>
        </w:rPr>
        <w:t xml:space="preserve"> </w:t>
      </w:r>
      <w:r>
        <w:rPr>
          <w:rFonts w:hint="default" w:ascii="仿宋_GB2312" w:hAnsi="Times New Roman" w:eastAsia="仿宋_GB2312" w:cs="Times New Roman"/>
          <w:snapToGrid/>
          <w:kern w:val="2"/>
          <w:sz w:val="32"/>
          <w:szCs w:val="32"/>
          <w:lang w:val="en-US" w:eastAsia="zh-CN"/>
        </w:rPr>
        <w:t>优抚对象、社会弱势群体等特殊群体申请零售许可证的，受所在单元网格规划数限制，零售点间距可放宽至本单元网格间距标准的</w:t>
      </w:r>
      <w:r>
        <w:rPr>
          <w:rFonts w:hint="eastAsia" w:ascii="仿宋_GB2312" w:hAnsi="Times New Roman" w:eastAsia="仿宋_GB2312" w:cs="Times New Roman"/>
          <w:snapToGrid/>
          <w:kern w:val="2"/>
          <w:sz w:val="32"/>
          <w:szCs w:val="32"/>
          <w:lang w:val="en-US" w:eastAsia="zh-CN"/>
        </w:rPr>
        <w:t>80%</w:t>
      </w:r>
      <w:r>
        <w:rPr>
          <w:rFonts w:hint="default" w:ascii="仿宋_GB2312" w:hAnsi="Times New Roman" w:eastAsia="仿宋_GB2312" w:cs="Times New Roman"/>
          <w:snapToGrid/>
          <w:kern w:val="2"/>
          <w:sz w:val="32"/>
          <w:szCs w:val="32"/>
          <w:lang w:val="en-US" w:eastAsia="zh-CN"/>
        </w:rPr>
        <w:t>执行。本规定政策，同一特殊群体申请人在云南省内仅适用一次。</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eastAsia" w:ascii="仿宋_GB2312" w:hAnsi="Times New Roman" w:eastAsia="仿宋_GB2312" w:cs="Times New Roman"/>
          <w:snapToGrid/>
          <w:kern w:val="2"/>
          <w:sz w:val="32"/>
          <w:szCs w:val="32"/>
          <w:lang w:val="en-US" w:eastAsia="zh-CN"/>
        </w:rPr>
        <w:t>（一）</w:t>
      </w:r>
      <w:r>
        <w:rPr>
          <w:rFonts w:hint="default" w:ascii="仿宋_GB2312" w:hAnsi="Times New Roman" w:eastAsia="仿宋_GB2312" w:cs="Times New Roman"/>
          <w:snapToGrid/>
          <w:kern w:val="2"/>
          <w:sz w:val="32"/>
          <w:szCs w:val="32"/>
          <w:lang w:val="en-US" w:eastAsia="zh-CN"/>
        </w:rPr>
        <w:t>烈士家属、因公牺牲军人家属；见义勇为牺牲人员家属（本条中的家属包括父母、子女、配偶）。</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eastAsia" w:ascii="仿宋_GB2312" w:hAnsi="Times New Roman" w:eastAsia="仿宋_GB2312" w:cs="Times New Roman"/>
          <w:snapToGrid/>
          <w:kern w:val="2"/>
          <w:sz w:val="32"/>
          <w:szCs w:val="32"/>
          <w:lang w:val="en-US" w:eastAsia="zh-CN"/>
        </w:rPr>
        <w:t>（二）</w:t>
      </w:r>
      <w:r>
        <w:rPr>
          <w:rFonts w:hint="default" w:ascii="仿宋_GB2312" w:hAnsi="Times New Roman" w:eastAsia="仿宋_GB2312" w:cs="Times New Roman"/>
          <w:snapToGrid/>
          <w:kern w:val="2"/>
          <w:sz w:val="32"/>
          <w:szCs w:val="32"/>
          <w:lang w:val="en-US" w:eastAsia="zh-CN"/>
        </w:rPr>
        <w:t>符合以下条件之一，具有从事烟草专卖零售经营业务相应能力，且具有完全民事行为能力的残疾人：</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default" w:ascii="仿宋_GB2312" w:hAnsi="Times New Roman" w:eastAsia="仿宋_GB2312" w:cs="Times New Roman"/>
          <w:snapToGrid/>
          <w:kern w:val="2"/>
          <w:sz w:val="32"/>
          <w:szCs w:val="32"/>
          <w:lang w:val="en-US" w:eastAsia="zh-CN"/>
        </w:rPr>
        <w:t>视力残疾：一级盲、二级盲；</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default" w:ascii="仿宋_GB2312" w:hAnsi="Times New Roman" w:eastAsia="仿宋_GB2312" w:cs="Times New Roman"/>
          <w:snapToGrid/>
          <w:kern w:val="2"/>
          <w:sz w:val="32"/>
          <w:szCs w:val="32"/>
          <w:lang w:val="en-US" w:eastAsia="zh-CN"/>
        </w:rPr>
        <w:t>听力残疾：一级、二级；</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default" w:ascii="仿宋_GB2312" w:hAnsi="Times New Roman" w:eastAsia="仿宋_GB2312" w:cs="Times New Roman"/>
          <w:snapToGrid/>
          <w:kern w:val="2"/>
          <w:sz w:val="32"/>
          <w:szCs w:val="32"/>
          <w:lang w:val="en-US" w:eastAsia="zh-CN"/>
        </w:rPr>
        <w:t>言语残疾：一级、二级；</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default" w:ascii="仿宋_GB2312" w:hAnsi="Times New Roman" w:eastAsia="仿宋_GB2312" w:cs="Times New Roman"/>
          <w:snapToGrid/>
          <w:kern w:val="2"/>
          <w:sz w:val="32"/>
          <w:szCs w:val="32"/>
          <w:lang w:val="en-US" w:eastAsia="zh-CN"/>
        </w:rPr>
        <w:t>肢体残疾：重度（一级）、中度（二级）。</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eastAsia" w:ascii="仿宋_GB2312" w:hAnsi="Times New Roman" w:eastAsia="仿宋_GB2312" w:cs="Times New Roman"/>
          <w:snapToGrid/>
          <w:kern w:val="2"/>
          <w:sz w:val="32"/>
          <w:szCs w:val="32"/>
          <w:lang w:val="en-US" w:eastAsia="zh-CN"/>
        </w:rPr>
        <w:t>（三）</w:t>
      </w:r>
      <w:r>
        <w:rPr>
          <w:rFonts w:hint="default" w:ascii="仿宋_GB2312" w:hAnsi="Times New Roman" w:eastAsia="仿宋_GB2312" w:cs="Times New Roman"/>
          <w:snapToGrid/>
          <w:kern w:val="2"/>
          <w:sz w:val="32"/>
          <w:szCs w:val="32"/>
          <w:lang w:val="en-US" w:eastAsia="zh-CN"/>
        </w:rPr>
        <w:t>国家明文给予政策扶持，确实具有需要扶持照顾的</w:t>
      </w:r>
      <w:r>
        <w:rPr>
          <w:rFonts w:hint="eastAsia" w:ascii="仿宋_GB2312" w:hAnsi="Times New Roman" w:eastAsia="仿宋_GB2312" w:cs="Times New Roman"/>
          <w:snapToGrid/>
          <w:kern w:val="2"/>
          <w:sz w:val="32"/>
          <w:szCs w:val="32"/>
          <w:lang w:val="en-US" w:eastAsia="zh-Hans"/>
        </w:rPr>
        <w:t>其</w:t>
      </w:r>
      <w:r>
        <w:rPr>
          <w:rFonts w:hint="default" w:ascii="仿宋_GB2312" w:hAnsi="Times New Roman" w:eastAsia="仿宋_GB2312" w:cs="Times New Roman"/>
          <w:snapToGrid/>
          <w:kern w:val="2"/>
          <w:sz w:val="32"/>
          <w:szCs w:val="32"/>
          <w:lang w:val="en-US" w:eastAsia="zh-CN"/>
        </w:rPr>
        <w:t>他特殊情况的优抚对象，经属地烟草专卖局集体研究并向上级烟草专卖局报备，可以放宽办证条件。</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val="en-US" w:eastAsia="zh-CN"/>
        </w:rPr>
      </w:pPr>
      <w:r>
        <w:rPr>
          <w:rFonts w:hint="default" w:ascii="仿宋_GB2312" w:hAnsi="Times New Roman" w:eastAsia="仿宋_GB2312" w:cs="Times New Roman"/>
          <w:snapToGrid/>
          <w:kern w:val="2"/>
          <w:sz w:val="32"/>
          <w:szCs w:val="32"/>
          <w:lang w:val="en-US" w:eastAsia="zh-CN"/>
        </w:rPr>
        <w:t>申请人应提交合法有效的证明文件。</w:t>
      </w:r>
    </w:p>
    <w:p>
      <w:pPr>
        <w:keepNext w:val="0"/>
        <w:keepLines w:val="0"/>
        <w:pageBreakBefore w:val="0"/>
        <w:widowControl w:val="0"/>
        <w:kinsoku/>
        <w:wordWrap/>
        <w:overflowPunct/>
        <w:topLinePunct w:val="0"/>
        <w:autoSpaceDE/>
        <w:autoSpaceDN/>
        <w:bidi w:val="0"/>
        <w:adjustRightInd w:val="0"/>
        <w:snapToGrid/>
        <w:spacing w:line="336" w:lineRule="auto"/>
        <w:ind w:firstLine="660" w:firstLineChars="200"/>
        <w:jc w:val="both"/>
        <w:textAlignment w:val="auto"/>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第十</w:t>
      </w:r>
      <w:r>
        <w:rPr>
          <w:rFonts w:hint="eastAsia" w:ascii="黑体" w:hAnsi="黑体" w:eastAsia="黑体" w:cs="黑体"/>
          <w:spacing w:val="5"/>
          <w:sz w:val="32"/>
          <w:szCs w:val="32"/>
          <w:lang w:eastAsia="zh-CN"/>
        </w:rPr>
        <w:t>七</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因道路规划、城市建设等客观原因，造成持证人无法在原核定地址经营之日起三十日内，持证人申请变更到本单元网格内新址经营的，不受所在单元网格规划数限制，零售点间距可放宽至本单元网格间距标准的40%执行。</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申请变更到本县其他单元网格的，受所在单元网格规划数限制，零售点间距可放宽至本单元网格间距标准的80%执行。</w:t>
      </w:r>
    </w:p>
    <w:p>
      <w:pPr>
        <w:keepNext w:val="0"/>
        <w:keepLines w:val="0"/>
        <w:pageBreakBefore w:val="0"/>
        <w:widowControl w:val="0"/>
        <w:kinsoku/>
        <w:wordWrap/>
        <w:overflowPunct/>
        <w:topLinePunct w:val="0"/>
        <w:autoSpaceDE/>
        <w:autoSpaceDN/>
        <w:bidi w:val="0"/>
        <w:adjustRightInd w:val="0"/>
        <w:snapToGrid/>
        <w:spacing w:line="336" w:lineRule="auto"/>
        <w:ind w:firstLine="660" w:firstLineChars="200"/>
        <w:jc w:val="both"/>
        <w:textAlignment w:val="auto"/>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第十</w:t>
      </w:r>
      <w:r>
        <w:rPr>
          <w:rFonts w:hint="eastAsia" w:ascii="黑体" w:hAnsi="黑体" w:eastAsia="黑体" w:cs="黑体"/>
          <w:spacing w:val="5"/>
          <w:sz w:val="32"/>
          <w:szCs w:val="32"/>
          <w:lang w:eastAsia="zh-CN"/>
        </w:rPr>
        <w:t>八</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因中小学校及幼儿园新建、改扩建等客观原因，造成持证人无法在原核定地址经营之日起三十日内，持证人申请歇业并在原单元网格内新址申请新办的，不受所在单元网格规划数限制，零售点间距可放宽至本单元网格间距标准的40%执行。</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在本县其他单元网格申请新办的，受所在单元网格规划数限制</w:t>
      </w:r>
      <w:r>
        <w:rPr>
          <w:rFonts w:hint="eastAsia" w:ascii="仿宋_GB2312" w:hAnsi="Times New Roman" w:eastAsia="仿宋_GB2312" w:cs="Times New Roman"/>
          <w:snapToGrid/>
          <w:kern w:val="2"/>
          <w:sz w:val="32"/>
          <w:szCs w:val="32"/>
          <w:lang w:eastAsia="zh-Hans"/>
        </w:rPr>
        <w:t>，</w:t>
      </w:r>
      <w:r>
        <w:rPr>
          <w:rFonts w:hint="eastAsia" w:ascii="仿宋_GB2312" w:hAnsi="Times New Roman" w:eastAsia="仿宋_GB2312" w:cs="Times New Roman"/>
          <w:snapToGrid/>
          <w:kern w:val="2"/>
          <w:sz w:val="32"/>
          <w:szCs w:val="32"/>
          <w:lang w:eastAsia="zh-CN"/>
        </w:rPr>
        <w:t>间距标准可放宽至本单元网格间距标准的80%执行。</w:t>
      </w:r>
    </w:p>
    <w:p>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36" w:lineRule="auto"/>
        <w:ind w:right="0" w:rightChars="0"/>
        <w:jc w:val="center"/>
        <w:textAlignment w:val="baseline"/>
        <w:outlineLvl w:val="9"/>
        <w:rPr>
          <w:sz w:val="32"/>
          <w:szCs w:val="32"/>
        </w:rPr>
      </w:pPr>
      <w:r>
        <w:rPr>
          <w:rFonts w:hint="eastAsia" w:ascii="黑体" w:hAnsi="黑体" w:eastAsia="黑体" w:cs="黑体"/>
          <w:spacing w:val="3"/>
          <w:sz w:val="32"/>
          <w:szCs w:val="32"/>
          <w:lang w:eastAsia="zh-CN"/>
        </w:rPr>
        <w:t>第五章</w:t>
      </w:r>
      <w:r>
        <w:rPr>
          <w:rFonts w:hint="eastAsia" w:ascii="黑体" w:hAnsi="黑体" w:eastAsia="黑体" w:cs="黑体"/>
          <w:spacing w:val="3"/>
          <w:sz w:val="32"/>
          <w:szCs w:val="32"/>
          <w:lang w:val="en-US" w:eastAsia="zh-CN"/>
        </w:rPr>
        <w:t xml:space="preserve">  </w:t>
      </w:r>
      <w:r>
        <w:rPr>
          <w:rFonts w:ascii="黑体" w:hAnsi="黑体" w:eastAsia="黑体" w:cs="黑体"/>
          <w:spacing w:val="3"/>
          <w:sz w:val="32"/>
          <w:szCs w:val="32"/>
        </w:rPr>
        <w:t>附</w:t>
      </w:r>
      <w:r>
        <w:rPr>
          <w:rFonts w:hint="eastAsia" w:ascii="黑体" w:hAnsi="黑体" w:eastAsia="黑体" w:cs="黑体"/>
          <w:spacing w:val="3"/>
          <w:sz w:val="32"/>
          <w:szCs w:val="32"/>
          <w:lang w:val="en-US" w:eastAsia="zh-CN"/>
        </w:rPr>
        <w:t xml:space="preserve">  </w:t>
      </w:r>
      <w:r>
        <w:rPr>
          <w:rFonts w:ascii="黑体" w:hAnsi="黑体" w:eastAsia="黑体" w:cs="黑体"/>
          <w:spacing w:val="3"/>
          <w:sz w:val="32"/>
          <w:szCs w:val="32"/>
        </w:rPr>
        <w:t>则</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仿宋" w:hAnsi="仿宋" w:eastAsia="仿宋" w:cs="仿宋"/>
          <w:spacing w:val="5"/>
          <w:sz w:val="32"/>
          <w:szCs w:val="32"/>
        </w:rPr>
      </w:pPr>
      <w:r>
        <w:rPr>
          <w:rFonts w:ascii="黑体" w:hAnsi="黑体" w:eastAsia="黑体" w:cs="黑体"/>
          <w:spacing w:val="5"/>
          <w:sz w:val="32"/>
          <w:szCs w:val="32"/>
        </w:rPr>
        <w:t>第十</w:t>
      </w:r>
      <w:r>
        <w:rPr>
          <w:rFonts w:hint="eastAsia" w:ascii="黑体" w:hAnsi="黑体" w:eastAsia="黑体" w:cs="黑体"/>
          <w:spacing w:val="5"/>
          <w:sz w:val="32"/>
          <w:szCs w:val="32"/>
          <w:lang w:eastAsia="zh-CN"/>
        </w:rPr>
        <w:t>九</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本规划实施后，如遇相关法律、法规、规章及规范性文件调整的，根据最新规定进行调整，及时报当地本级人民政府法制部门备案后公布实施。</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本县零售点合理布局实行定期评价、动态管理。每季度根据本地经济发展、城乡建设、市场形势等变化情况进行调整并公示后实施。</w:t>
      </w:r>
      <w:r>
        <w:rPr>
          <w:rFonts w:hint="eastAsia" w:ascii="仿宋_GB2312" w:hAnsi="Times New Roman" w:eastAsia="仿宋_GB2312" w:cs="Times New Roman"/>
          <w:snapToGrid/>
          <w:kern w:val="2"/>
          <w:sz w:val="32"/>
          <w:szCs w:val="32"/>
          <w:lang w:val="en-US" w:eastAsia="zh-CN"/>
        </w:rPr>
        <w:t>动态调整规则详见《云南省新平彝族傣族自治县烟草制品零售点合理布局规划数动态调整管理制度》（附件5）。</w:t>
      </w:r>
    </w:p>
    <w:p>
      <w:pPr>
        <w:keepNext w:val="0"/>
        <w:keepLines w:val="0"/>
        <w:pageBreakBefore w:val="0"/>
        <w:widowControl w:val="0"/>
        <w:kinsoku/>
        <w:wordWrap/>
        <w:overflowPunct/>
        <w:topLinePunct w:val="0"/>
        <w:autoSpaceDE/>
        <w:autoSpaceDN/>
        <w:bidi w:val="0"/>
        <w:adjustRightInd w:val="0"/>
        <w:snapToGrid/>
        <w:spacing w:line="336" w:lineRule="auto"/>
        <w:ind w:firstLine="660" w:firstLineChars="200"/>
        <w:jc w:val="both"/>
        <w:textAlignment w:val="auto"/>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二十一</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对暂不符合本布局规划条件的申请人，实行排队轮候制度。排队轮候制度详见《</w:t>
      </w:r>
      <w:r>
        <w:rPr>
          <w:rFonts w:hint="eastAsia" w:ascii="仿宋_GB2312" w:hAnsi="Times New Roman" w:eastAsia="仿宋_GB2312" w:cs="Times New Roman"/>
          <w:snapToGrid/>
          <w:kern w:val="2"/>
          <w:sz w:val="32"/>
          <w:szCs w:val="32"/>
          <w:lang w:val="en-US" w:eastAsia="zh-Hans"/>
        </w:rPr>
        <w:t>云南省新平彝族傣族自治县</w:t>
      </w:r>
      <w:r>
        <w:rPr>
          <w:rFonts w:hint="eastAsia" w:ascii="仿宋_GB2312" w:hAnsi="Times New Roman" w:eastAsia="仿宋_GB2312" w:cs="Times New Roman"/>
          <w:snapToGrid/>
          <w:kern w:val="2"/>
          <w:sz w:val="32"/>
          <w:szCs w:val="32"/>
          <w:lang w:eastAsia="zh-CN"/>
        </w:rPr>
        <w:t>烟草制品零售点排队轮候制度》（附件</w:t>
      </w:r>
      <w:r>
        <w:rPr>
          <w:rFonts w:hint="eastAsia" w:ascii="仿宋_GB2312" w:hAnsi="Times New Roman" w:eastAsia="仿宋_GB2312" w:cs="Times New Roman"/>
          <w:snapToGrid/>
          <w:kern w:val="2"/>
          <w:sz w:val="32"/>
          <w:szCs w:val="32"/>
          <w:lang w:val="en-US" w:eastAsia="zh-CN"/>
        </w:rPr>
        <w:t>6</w:t>
      </w:r>
      <w:r>
        <w:rPr>
          <w:rFonts w:hint="eastAsia" w:ascii="仿宋_GB2312" w:hAnsi="Times New Roman" w:eastAsia="仿宋_GB2312" w:cs="Times New Roman"/>
          <w:snapToGrid/>
          <w:kern w:val="2"/>
          <w:sz w:val="32"/>
          <w:szCs w:val="32"/>
          <w:lang w:eastAsia="zh-CN"/>
        </w:rPr>
        <w:t>）。</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符合第十七条、第十八条情形且不受单元网格规划数限制的，申请人不实行排队轮候制度。</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 w:hAnsi="仿宋" w:eastAsia="仿宋" w:cs="仿宋"/>
          <w:spacing w:val="5"/>
          <w:sz w:val="32"/>
          <w:szCs w:val="32"/>
          <w:lang w:val="en-US"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二十二</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本规划中放宽单元网格间距标准的情形不适用于中小学校、幼儿园周围。</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二十三</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中所称“中小学校”是指普通中小学校、特殊教育学校、中等职业学校、专门学校等。“幼儿园”是指经教育行政主管部门依法批准的公办和民办全日制、寄宿制、半日制幼儿园及小学附设的学前班、幼儿班等。各类培训教育机构、托管班、早教班等除外。</w:t>
      </w:r>
    </w:p>
    <w:p>
      <w:pPr>
        <w:keepNext w:val="0"/>
        <w:keepLines w:val="0"/>
        <w:pageBreakBefore w:val="0"/>
        <w:widowControl w:val="0"/>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二十四</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本规划中“以上”“不低于”“不超过”“以内”等，如无特殊说明均包括本数。</w:t>
      </w:r>
    </w:p>
    <w:p>
      <w:pPr>
        <w:keepNext w:val="0"/>
        <w:keepLines w:val="0"/>
        <w:pageBreakBefore w:val="0"/>
        <w:widowControl w:val="0"/>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二十五</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本规划中按照年、月、日计算期间的，开始的当日不计入，自下一日开始计算。均以工作日计算，不含法定节假日。</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val="en-US" w:eastAsia="zh-Hans"/>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二十六</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val="en-US" w:eastAsia="zh-Hans"/>
        </w:rPr>
        <w:t>本规划由云南省新平彝族傣族自治县烟草专卖局负责解释。</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val="en-US"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二十七</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val="en-US" w:eastAsia="zh-CN"/>
        </w:rPr>
        <w:t>本规划于公布之日起三十日后施行</w:t>
      </w:r>
      <w:r>
        <w:rPr>
          <w:rFonts w:hint="eastAsia" w:ascii="仿宋_GB2312" w:hAnsi="Times New Roman" w:eastAsia="仿宋_GB2312" w:cs="Times New Roman"/>
          <w:snapToGrid/>
          <w:kern w:val="2"/>
          <w:sz w:val="32"/>
          <w:szCs w:val="32"/>
          <w:lang w:val="en-US" w:eastAsia="zh-Hans"/>
        </w:rPr>
        <w:t>。</w:t>
      </w:r>
      <w:r>
        <w:rPr>
          <w:rFonts w:hint="eastAsia" w:ascii="仿宋_GB2312" w:hAnsi="Times New Roman" w:eastAsia="仿宋_GB2312" w:cs="Times New Roman"/>
          <w:snapToGrid/>
          <w:kern w:val="2"/>
          <w:sz w:val="32"/>
          <w:szCs w:val="32"/>
          <w:lang w:val="en-US" w:eastAsia="zh-CN"/>
        </w:rPr>
        <w:t>2024年12月30日起实施的《</w:t>
      </w:r>
      <w:r>
        <w:rPr>
          <w:rFonts w:hint="eastAsia" w:ascii="仿宋_GB2312" w:hAnsi="Times New Roman" w:eastAsia="仿宋_GB2312" w:cs="Times New Roman"/>
          <w:snapToGrid/>
          <w:kern w:val="2"/>
          <w:sz w:val="32"/>
          <w:szCs w:val="32"/>
          <w:lang w:val="en-US" w:eastAsia="zh-Hans"/>
        </w:rPr>
        <w:t>云南省新平彝族傣族自治县</w:t>
      </w:r>
      <w:r>
        <w:rPr>
          <w:rFonts w:hint="eastAsia" w:ascii="仿宋_GB2312" w:hAnsi="Times New Roman" w:eastAsia="仿宋_GB2312" w:cs="Times New Roman"/>
          <w:snapToGrid/>
          <w:kern w:val="2"/>
          <w:sz w:val="32"/>
          <w:szCs w:val="32"/>
          <w:lang w:val="en-US" w:eastAsia="zh-CN"/>
        </w:rPr>
        <w:t>烟草制品零售点合理布局规划》（</w:t>
      </w:r>
      <w:r>
        <w:rPr>
          <w:rFonts w:hint="eastAsia" w:ascii="仿宋_GB2312" w:hAnsi="Times New Roman" w:eastAsia="仿宋_GB2312" w:cs="Times New Roman"/>
          <w:snapToGrid/>
          <w:kern w:val="2"/>
          <w:sz w:val="32"/>
          <w:szCs w:val="32"/>
          <w:lang w:val="en-US" w:eastAsia="zh-Hans"/>
        </w:rPr>
        <w:t>新</w:t>
      </w:r>
      <w:r>
        <w:rPr>
          <w:rFonts w:hint="eastAsia" w:ascii="仿宋_GB2312" w:hAnsi="Times New Roman" w:eastAsia="仿宋_GB2312" w:cs="Times New Roman"/>
          <w:snapToGrid/>
          <w:kern w:val="2"/>
          <w:sz w:val="32"/>
          <w:szCs w:val="32"/>
          <w:lang w:val="en-US" w:eastAsia="zh-CN"/>
        </w:rPr>
        <w:t>烟专〔2024〕18号）同时废止。</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附件：1.云南省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县烟草制品零售点间距</w:t>
      </w:r>
    </w:p>
    <w:p>
      <w:pPr>
        <w:keepNext w:val="0"/>
        <w:keepLines w:val="0"/>
        <w:pageBreakBefore w:val="0"/>
        <w:widowControl w:val="0"/>
        <w:kinsoku/>
        <w:wordWrap/>
        <w:overflowPunct/>
        <w:topLinePunct w:val="0"/>
        <w:autoSpaceDE/>
        <w:autoSpaceDN/>
        <w:bidi w:val="0"/>
        <w:adjustRightInd w:val="0"/>
        <w:snapToGrid/>
        <w:spacing w:line="336" w:lineRule="auto"/>
        <w:ind w:firstLine="1920" w:firstLineChars="6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测量规则及标准</w:t>
      </w:r>
    </w:p>
    <w:p>
      <w:pPr>
        <w:keepNext w:val="0"/>
        <w:keepLines w:val="0"/>
        <w:pageBreakBefore w:val="0"/>
        <w:widowControl w:val="0"/>
        <w:kinsoku/>
        <w:wordWrap/>
        <w:overflowPunct/>
        <w:topLinePunct w:val="0"/>
        <w:autoSpaceDE/>
        <w:autoSpaceDN/>
        <w:bidi w:val="0"/>
        <w:adjustRightInd w:val="0"/>
        <w:snapToGrid/>
        <w:spacing w:line="336" w:lineRule="auto"/>
        <w:ind w:firstLine="1600" w:firstLineChars="5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2.云南省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县烟草制品零售点合理</w:t>
      </w:r>
    </w:p>
    <w:p>
      <w:pPr>
        <w:keepNext w:val="0"/>
        <w:keepLines w:val="0"/>
        <w:pageBreakBefore w:val="0"/>
        <w:widowControl w:val="0"/>
        <w:kinsoku/>
        <w:wordWrap/>
        <w:overflowPunct/>
        <w:topLinePunct w:val="0"/>
        <w:autoSpaceDE/>
        <w:autoSpaceDN/>
        <w:bidi w:val="0"/>
        <w:adjustRightInd w:val="0"/>
        <w:snapToGrid/>
        <w:spacing w:line="336" w:lineRule="auto"/>
        <w:ind w:firstLine="1920" w:firstLineChars="6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布局公示表</w:t>
      </w:r>
    </w:p>
    <w:p>
      <w:pPr>
        <w:keepNext w:val="0"/>
        <w:keepLines w:val="0"/>
        <w:pageBreakBefore w:val="0"/>
        <w:widowControl w:val="0"/>
        <w:kinsoku/>
        <w:wordWrap/>
        <w:overflowPunct/>
        <w:topLinePunct w:val="0"/>
        <w:autoSpaceDE/>
        <w:autoSpaceDN/>
        <w:bidi w:val="0"/>
        <w:adjustRightInd w:val="0"/>
        <w:snapToGrid/>
        <w:spacing w:line="336" w:lineRule="auto"/>
        <w:ind w:firstLine="1600" w:firstLineChars="5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3.云南省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县烟草制品零售点合理</w:t>
      </w:r>
    </w:p>
    <w:p>
      <w:pPr>
        <w:keepNext w:val="0"/>
        <w:keepLines w:val="0"/>
        <w:pageBreakBefore w:val="0"/>
        <w:widowControl w:val="0"/>
        <w:kinsoku/>
        <w:wordWrap/>
        <w:overflowPunct/>
        <w:topLinePunct w:val="0"/>
        <w:autoSpaceDE/>
        <w:autoSpaceDN/>
        <w:bidi w:val="0"/>
        <w:adjustRightInd w:val="0"/>
        <w:snapToGrid/>
        <w:spacing w:line="336" w:lineRule="auto"/>
        <w:ind w:firstLine="1920" w:firstLineChars="6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布局规划网格示意图</w:t>
      </w:r>
    </w:p>
    <w:p>
      <w:pPr>
        <w:keepNext w:val="0"/>
        <w:keepLines w:val="0"/>
        <w:pageBreakBefore w:val="0"/>
        <w:widowControl w:val="0"/>
        <w:kinsoku/>
        <w:wordWrap/>
        <w:overflowPunct/>
        <w:topLinePunct w:val="0"/>
        <w:autoSpaceDE/>
        <w:autoSpaceDN/>
        <w:bidi w:val="0"/>
        <w:adjustRightInd w:val="0"/>
        <w:snapToGrid/>
        <w:spacing w:line="336" w:lineRule="auto"/>
        <w:ind w:left="1916" w:leftChars="760" w:hanging="320" w:hangingChars="100"/>
        <w:jc w:val="both"/>
        <w:textAlignment w:val="auto"/>
        <w:rPr>
          <w:rFonts w:hint="default" w:ascii="仿宋_GB2312" w:hAnsi="Times New Roman" w:eastAsia="仿宋_GB2312" w:cs="Times New Roman"/>
          <w:snapToGrid/>
          <w:kern w:val="2"/>
          <w:sz w:val="32"/>
          <w:szCs w:val="32"/>
          <w:lang w:val="en-US" w:eastAsia="zh-CN"/>
        </w:rPr>
      </w:pPr>
      <w:r>
        <w:rPr>
          <w:rFonts w:hint="eastAsia" w:ascii="仿宋_GB2312" w:hAnsi="Times New Roman" w:eastAsia="仿宋_GB2312" w:cs="Times New Roman"/>
          <w:snapToGrid/>
          <w:kern w:val="2"/>
          <w:sz w:val="32"/>
          <w:szCs w:val="32"/>
          <w:lang w:val="en-US" w:eastAsia="zh-CN"/>
        </w:rPr>
        <w:t>4.</w:t>
      </w:r>
      <w:r>
        <w:rPr>
          <w:rFonts w:hint="eastAsia" w:ascii="仿宋_GB2312" w:hAnsi="Times New Roman" w:eastAsia="仿宋_GB2312" w:cs="Times New Roman"/>
          <w:snapToGrid/>
          <w:kern w:val="2"/>
          <w:sz w:val="32"/>
          <w:szCs w:val="32"/>
          <w:lang w:eastAsia="zh-CN"/>
        </w:rPr>
        <w:t>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w:t>
      </w:r>
      <w:r>
        <w:rPr>
          <w:rFonts w:hint="eastAsia" w:ascii="仿宋_GB2312" w:hAnsi="Times New Roman" w:eastAsia="仿宋_GB2312" w:cs="Times New Roman"/>
          <w:snapToGrid/>
          <w:kern w:val="2"/>
          <w:sz w:val="32"/>
          <w:szCs w:val="32"/>
          <w:lang w:val="en-US" w:eastAsia="zh-CN"/>
        </w:rPr>
        <w:t>雪茄烟专营零售点合理布局公示表</w:t>
      </w:r>
    </w:p>
    <w:p>
      <w:pPr>
        <w:keepNext w:val="0"/>
        <w:keepLines w:val="0"/>
        <w:pageBreakBefore w:val="0"/>
        <w:widowControl w:val="0"/>
        <w:kinsoku/>
        <w:wordWrap/>
        <w:overflowPunct/>
        <w:topLinePunct w:val="0"/>
        <w:autoSpaceDE/>
        <w:autoSpaceDN/>
        <w:bidi w:val="0"/>
        <w:adjustRightInd w:val="0"/>
        <w:snapToGrid/>
        <w:spacing w:line="336" w:lineRule="auto"/>
        <w:ind w:firstLine="1600" w:firstLineChars="5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val="en-US" w:eastAsia="zh-CN"/>
        </w:rPr>
        <w:t>5</w:t>
      </w:r>
      <w:r>
        <w:rPr>
          <w:rFonts w:hint="eastAsia" w:ascii="仿宋_GB2312" w:hAnsi="Times New Roman" w:eastAsia="仿宋_GB2312" w:cs="Times New Roman"/>
          <w:snapToGrid/>
          <w:kern w:val="2"/>
          <w:sz w:val="32"/>
          <w:szCs w:val="32"/>
          <w:lang w:eastAsia="zh-CN"/>
        </w:rPr>
        <w:t>.云南省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县烟草制品零售点合理</w:t>
      </w:r>
    </w:p>
    <w:p>
      <w:pPr>
        <w:keepNext w:val="0"/>
        <w:keepLines w:val="0"/>
        <w:pageBreakBefore w:val="0"/>
        <w:widowControl w:val="0"/>
        <w:kinsoku/>
        <w:wordWrap/>
        <w:overflowPunct/>
        <w:topLinePunct w:val="0"/>
        <w:autoSpaceDE/>
        <w:autoSpaceDN/>
        <w:bidi w:val="0"/>
        <w:adjustRightInd w:val="0"/>
        <w:snapToGrid/>
        <w:spacing w:line="336" w:lineRule="auto"/>
        <w:ind w:firstLine="1920" w:firstLineChars="6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布局规划数动态调整管理制度</w:t>
      </w:r>
    </w:p>
    <w:p>
      <w:pPr>
        <w:keepNext w:val="0"/>
        <w:keepLines w:val="0"/>
        <w:pageBreakBefore w:val="0"/>
        <w:widowControl w:val="0"/>
        <w:kinsoku/>
        <w:wordWrap/>
        <w:overflowPunct/>
        <w:topLinePunct w:val="0"/>
        <w:autoSpaceDE/>
        <w:autoSpaceDN/>
        <w:bidi w:val="0"/>
        <w:adjustRightInd w:val="0"/>
        <w:snapToGrid/>
        <w:spacing w:line="336" w:lineRule="auto"/>
        <w:ind w:firstLine="1600" w:firstLineChars="5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val="en-US" w:eastAsia="zh-CN"/>
        </w:rPr>
        <w:t>6</w:t>
      </w:r>
      <w:r>
        <w:rPr>
          <w:rFonts w:hint="eastAsia" w:ascii="仿宋_GB2312" w:hAnsi="Times New Roman" w:eastAsia="仿宋_GB2312" w:cs="Times New Roman"/>
          <w:snapToGrid/>
          <w:kern w:val="2"/>
          <w:sz w:val="32"/>
          <w:szCs w:val="32"/>
          <w:lang w:eastAsia="zh-CN"/>
        </w:rPr>
        <w:t>.云南省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县烟草制品零售点排队</w:t>
      </w:r>
    </w:p>
    <w:p>
      <w:pPr>
        <w:keepNext w:val="0"/>
        <w:keepLines w:val="0"/>
        <w:pageBreakBefore w:val="0"/>
        <w:widowControl w:val="0"/>
        <w:kinsoku/>
        <w:wordWrap/>
        <w:overflowPunct/>
        <w:topLinePunct w:val="0"/>
        <w:autoSpaceDE/>
        <w:autoSpaceDN/>
        <w:bidi w:val="0"/>
        <w:adjustRightInd w:val="0"/>
        <w:snapToGrid/>
        <w:spacing w:line="336" w:lineRule="auto"/>
        <w:ind w:firstLine="1920" w:firstLineChars="6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轮候制度</w:t>
      </w:r>
    </w:p>
    <w:p>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sectPr>
          <w:footerReference r:id="rId6" w:type="first"/>
          <w:footerReference r:id="rId5" w:type="default"/>
          <w:pgSz w:w="11916" w:h="16848"/>
          <w:pgMar w:top="2098" w:right="1531" w:bottom="1984" w:left="1530" w:header="850" w:footer="1531" w:gutter="0"/>
          <w:pgNumType w:fmt="numberInDash" w:start="1"/>
          <w:cols w:space="0" w:num="1"/>
          <w:titlePg/>
          <w:rtlGutter w:val="0"/>
          <w:docGrid w:linePitch="0" w:charSpace="0"/>
        </w:sectPr>
      </w:pPr>
    </w:p>
    <w:p>
      <w:pPr>
        <w:widowControl/>
        <w:spacing w:before="86" w:line="360" w:lineRule="auto"/>
        <w:jc w:val="left"/>
        <w:rPr>
          <w:rFonts w:ascii="黑体" w:hAnsi="黑体" w:eastAsia="黑体" w:cs="黑体"/>
          <w:spacing w:val="10"/>
          <w:sz w:val="32"/>
          <w:szCs w:val="32"/>
        </w:rPr>
      </w:pPr>
      <w:r>
        <w:rPr>
          <w:rFonts w:hint="eastAsia" w:ascii="黑体" w:hAnsi="黑体" w:eastAsia="黑体" w:cs="黑体"/>
          <w:spacing w:val="10"/>
          <w:sz w:val="32"/>
          <w:szCs w:val="32"/>
        </w:rPr>
        <w:t>附件1</w:t>
      </w:r>
    </w:p>
    <w:p>
      <w:pPr>
        <w:snapToGrid w:val="0"/>
        <w:spacing w:line="317" w:lineRule="auto"/>
        <w:jc w:val="center"/>
        <w:rPr>
          <w:rFonts w:hint="eastAsia" w:ascii="方正小标宋简体" w:eastAsia="方正小标宋简体"/>
          <w:sz w:val="44"/>
          <w:szCs w:val="44"/>
        </w:rPr>
      </w:pPr>
      <w:r>
        <w:rPr>
          <w:rFonts w:hint="eastAsia" w:ascii="方正小标宋简体" w:eastAsia="方正小标宋简体"/>
          <w:sz w:val="44"/>
          <w:szCs w:val="44"/>
        </w:rPr>
        <w:t>云南省</w:t>
      </w:r>
      <w:r>
        <w:rPr>
          <w:rFonts w:hint="eastAsia" w:ascii="方正小标宋简体" w:eastAsia="方正小标宋简体"/>
          <w:sz w:val="44"/>
          <w:szCs w:val="44"/>
          <w:lang w:val="en-US" w:eastAsia="zh-Hans"/>
        </w:rPr>
        <w:t>新平彝族傣族自治</w:t>
      </w:r>
      <w:r>
        <w:rPr>
          <w:rFonts w:hint="eastAsia" w:ascii="方正小标宋简体" w:eastAsia="方正小标宋简体"/>
          <w:sz w:val="44"/>
          <w:szCs w:val="44"/>
        </w:rPr>
        <w:t>县烟草制品</w:t>
      </w:r>
    </w:p>
    <w:p>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零售点间距测量规则及标准</w:t>
      </w:r>
    </w:p>
    <w:p/>
    <w:p>
      <w:pPr>
        <w:widowControl/>
        <w:tabs>
          <w:tab w:val="left" w:pos="2723"/>
        </w:tabs>
        <w:adjustRightInd w:val="0"/>
        <w:snapToGrid w:val="0"/>
        <w:spacing w:before="86" w:line="336" w:lineRule="auto"/>
        <w:ind w:firstLine="680" w:firstLineChars="200"/>
        <w:jc w:val="both"/>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w:t>
      </w:r>
      <w:r>
        <w:rPr>
          <w:rFonts w:hint="eastAsia" w:ascii="仿宋_GB2312" w:hAnsi="仿宋_GB2312" w:eastAsia="仿宋_GB2312" w:cs="仿宋_GB2312"/>
          <w:spacing w:val="10"/>
          <w:sz w:val="32"/>
          <w:szCs w:val="32"/>
          <w:lang w:val="en-US" w:eastAsia="zh-Hans"/>
        </w:rPr>
        <w:t>新平彝族傣族自治</w:t>
      </w:r>
      <w:r>
        <w:rPr>
          <w:rFonts w:hint="eastAsia" w:ascii="仿宋_GB2312" w:hAnsi="仿宋_GB2312" w:eastAsia="仿宋_GB2312" w:cs="仿宋_GB2312"/>
          <w:spacing w:val="10"/>
          <w:sz w:val="32"/>
          <w:szCs w:val="32"/>
        </w:rPr>
        <w:t>县辖区实际情况，现明确《云南省</w:t>
      </w:r>
      <w:r>
        <w:rPr>
          <w:rFonts w:hint="eastAsia" w:ascii="仿宋_GB2312" w:hAnsi="仿宋_GB2312" w:eastAsia="仿宋_GB2312" w:cs="仿宋_GB2312"/>
          <w:spacing w:val="10"/>
          <w:sz w:val="32"/>
          <w:szCs w:val="32"/>
          <w:lang w:val="en-US" w:eastAsia="zh-Hans"/>
        </w:rPr>
        <w:t>新平彝族傣族自治</w:t>
      </w:r>
      <w:r>
        <w:rPr>
          <w:rFonts w:hint="eastAsia" w:ascii="仿宋_GB2312" w:hAnsi="仿宋_GB2312" w:eastAsia="仿宋_GB2312" w:cs="仿宋_GB2312"/>
          <w:spacing w:val="10"/>
          <w:sz w:val="32"/>
          <w:szCs w:val="32"/>
        </w:rPr>
        <w:t>县烟草制品零售点合理布局规划》第</w:t>
      </w:r>
      <w:r>
        <w:rPr>
          <w:rFonts w:hint="eastAsia" w:ascii="仿宋_GB2312" w:hAnsi="仿宋_GB2312" w:eastAsia="仿宋_GB2312" w:cs="仿宋_GB2312"/>
          <w:spacing w:val="10"/>
          <w:sz w:val="32"/>
          <w:szCs w:val="32"/>
          <w:lang w:eastAsia="zh-CN"/>
        </w:rPr>
        <w:t>八</w:t>
      </w:r>
      <w:r>
        <w:rPr>
          <w:rFonts w:hint="eastAsia" w:ascii="仿宋_GB2312" w:hAnsi="仿宋_GB2312" w:eastAsia="仿宋_GB2312" w:cs="仿宋_GB2312"/>
          <w:spacing w:val="10"/>
          <w:sz w:val="32"/>
          <w:szCs w:val="32"/>
        </w:rPr>
        <w:t>条中有关的“零售点间距”测量规则及标准如下：</w:t>
      </w:r>
    </w:p>
    <w:p>
      <w:pPr>
        <w:widowControl/>
        <w:adjustRightInd w:val="0"/>
        <w:snapToGrid w:val="0"/>
        <w:spacing w:before="86" w:line="336" w:lineRule="auto"/>
        <w:ind w:firstLine="640" w:firstLineChars="200"/>
        <w:jc w:val="both"/>
        <w:rPr>
          <w:rFonts w:ascii="黑体" w:hAnsi="黑体" w:eastAsia="黑体" w:cs="黑体"/>
          <w:sz w:val="32"/>
          <w:szCs w:val="32"/>
        </w:rPr>
      </w:pPr>
      <w:r>
        <w:rPr>
          <w:rFonts w:hint="eastAsia" w:ascii="黑体" w:hAnsi="黑体" w:eastAsia="黑体" w:cs="黑体"/>
          <w:sz w:val="32"/>
          <w:szCs w:val="32"/>
        </w:rPr>
        <w:t>一、测量规则</w:t>
      </w:r>
    </w:p>
    <w:p>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（一）现场核查零售点间距的测量以“可安全步行最短距离”为总体原则，其他未穷尽列举的情形均参照本原则测量。</w:t>
      </w:r>
    </w:p>
    <w:p>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（二）应当使用符合国家距离测量标准的测量工具。</w:t>
      </w:r>
    </w:p>
    <w:p>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（三）“零售点间距”是指申请点与参照零售点（周边已设最近的零售点）之间按“门边到门边”原则进行测量。测量数据精确到小数点后一位，如“30.0米”或“100.0米”。</w:t>
      </w:r>
    </w:p>
    <w:p>
      <w:pPr>
        <w:keepNext w:val="0"/>
        <w:keepLines w:val="0"/>
        <w:pageBreakBefore w:val="0"/>
        <w:widowControl w:val="0"/>
        <w:kinsoku w:val="0"/>
        <w:wordWrap/>
        <w:overflowPunct/>
        <w:topLinePunct w:val="0"/>
        <w:autoSpaceDE w:val="0"/>
        <w:autoSpaceDN w:val="0"/>
        <w:bidi w:val="0"/>
        <w:adjustRightInd w:val="0"/>
        <w:snapToGrid w:val="0"/>
        <w:spacing w:line="336" w:lineRule="auto"/>
        <w:ind w:firstLine="640" w:firstLineChars="200"/>
        <w:jc w:val="both"/>
        <w:textAlignment w:val="baseline"/>
        <w:rPr>
          <w:rFonts w:ascii="仿宋_GB2312" w:eastAsia="仿宋_GB2312"/>
          <w:sz w:val="32"/>
          <w:szCs w:val="32"/>
        </w:rPr>
      </w:pPr>
      <w:r>
        <w:rPr>
          <w:rFonts w:hint="eastAsia" w:ascii="仿宋_GB2312" w:eastAsia="仿宋_GB2312"/>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（六）政府有关部门在街道或道路中设置的行人隔离带（栏）、绿化带等视为障碍物，测量时应当按道路交通规则绕行。</w:t>
      </w:r>
    </w:p>
    <w:p>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（七）不视为障碍物的情形：在通行道路上临时设置的安全设施；临时放置的建筑材料、物品、车辆等；擅自设立、建造的建筑物、构筑物或其他物体等；以及因施工影响通行的围挡设施。</w:t>
      </w:r>
    </w:p>
    <w:p>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pPr>
        <w:pStyle w:val="4"/>
        <w:adjustRightInd w:val="0"/>
        <w:snapToGrid w:val="0"/>
        <w:spacing w:after="0" w:line="336"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pPr>
        <w:pStyle w:val="4"/>
        <w:spacing w:after="0"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910080"/>
            <wp:effectExtent l="0" t="0" r="11430" b="13970"/>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16"/>
                    <a:stretch>
                      <a:fillRect/>
                    </a:stretch>
                  </pic:blipFill>
                  <pic:spPr>
                    <a:xfrm>
                      <a:off x="0" y="0"/>
                      <a:ext cx="3970020" cy="1910080"/>
                    </a:xfrm>
                    <a:prstGeom prst="rect">
                      <a:avLst/>
                    </a:prstGeom>
                  </pic:spPr>
                </pic:pic>
              </a:graphicData>
            </a:graphic>
          </wp:inline>
        </w:drawing>
      </w:r>
    </w:p>
    <w:p>
      <w:pPr>
        <w:pStyle w:val="4"/>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pPr>
        <w:pStyle w:val="4"/>
        <w:spacing w:after="0" w:line="360" w:lineRule="auto"/>
        <w:ind w:right="2" w:firstLine="643"/>
        <w:jc w:val="center"/>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9225" cy="1884045"/>
            <wp:effectExtent l="0" t="0" r="9525" b="1905"/>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17"/>
                    <a:stretch>
                      <a:fillRect/>
                    </a:stretch>
                  </pic:blipFill>
                  <pic:spPr>
                    <a:xfrm>
                      <a:off x="0" y="0"/>
                      <a:ext cx="5240217" cy="1887838"/>
                    </a:xfrm>
                    <a:prstGeom prst="rect">
                      <a:avLst/>
                    </a:prstGeom>
                  </pic:spPr>
                </pic:pic>
              </a:graphicData>
            </a:graphic>
          </wp:inline>
        </w:drawing>
      </w:r>
    </w:p>
    <w:p>
      <w:pPr>
        <w:pStyle w:val="4"/>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pPr>
        <w:pStyle w:val="4"/>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（三）申请点与参照零售点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pPr>
        <w:pStyle w:val="4"/>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1</w:t>
      </w:r>
      <w:r>
        <w:rPr>
          <w:rFonts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rPr>
        <w:t>申请点与参照零售点对称的，间距=a（如图3.1）</w:t>
      </w:r>
    </w:p>
    <w:p>
      <w:pPr>
        <w:pStyle w:val="4"/>
        <w:spacing w:after="0"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7" name="图片 7"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3bdaea5065e1670b868335705003e0"/>
                    <pic:cNvPicPr>
                      <a:picLocks noChangeAspect="1"/>
                    </pic:cNvPicPr>
                  </pic:nvPicPr>
                  <pic:blipFill>
                    <a:blip r:embed="rId18"/>
                    <a:stretch>
                      <a:fillRect/>
                    </a:stretch>
                  </pic:blipFill>
                  <pic:spPr>
                    <a:xfrm>
                      <a:off x="0" y="0"/>
                      <a:ext cx="4934585" cy="2446020"/>
                    </a:xfrm>
                    <a:prstGeom prst="rect">
                      <a:avLst/>
                    </a:prstGeom>
                  </pic:spPr>
                </pic:pic>
              </a:graphicData>
            </a:graphic>
          </wp:inline>
        </w:drawing>
      </w:r>
    </w:p>
    <w:p>
      <w:pPr>
        <w:pStyle w:val="4"/>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pPr>
        <w:pStyle w:val="4"/>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pacing w:val="10"/>
          <w:sz w:val="32"/>
          <w:szCs w:val="32"/>
        </w:rPr>
        <w:t>申请点与参照零售点不对称的，间距=b（如图3.2）</w:t>
      </w:r>
    </w:p>
    <w:p>
      <w:pPr>
        <w:pStyle w:val="4"/>
        <w:spacing w:after="0"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8" name="图片 8"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ae0954c900ff944af7dff9ce511727"/>
                    <pic:cNvPicPr>
                      <a:picLocks noChangeAspect="1"/>
                    </pic:cNvPicPr>
                  </pic:nvPicPr>
                  <pic:blipFill>
                    <a:blip r:embed="rId19"/>
                    <a:stretch>
                      <a:fillRect/>
                    </a:stretch>
                  </pic:blipFill>
                  <pic:spPr>
                    <a:xfrm>
                      <a:off x="0" y="0"/>
                      <a:ext cx="5015865" cy="2638425"/>
                    </a:xfrm>
                    <a:prstGeom prst="rect">
                      <a:avLst/>
                    </a:prstGeom>
                  </pic:spPr>
                </pic:pic>
              </a:graphicData>
            </a:graphic>
          </wp:inline>
        </w:drawing>
      </w:r>
    </w:p>
    <w:p>
      <w:pPr>
        <w:pStyle w:val="4"/>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pPr>
        <w:pStyle w:val="4"/>
        <w:keepNext w:val="0"/>
        <w:keepLines w:val="0"/>
        <w:pageBreakBefore w:val="0"/>
        <w:widowControl w:val="0"/>
        <w:kinsoku w:val="0"/>
        <w:wordWrap/>
        <w:overflowPunct/>
        <w:topLinePunct w:val="0"/>
        <w:autoSpaceDE w:val="0"/>
        <w:autoSpaceDN w:val="0"/>
        <w:bidi w:val="0"/>
        <w:adjustRightInd w:val="0"/>
        <w:snapToGrid w:val="0"/>
        <w:spacing w:after="0" w:line="360" w:lineRule="auto"/>
        <w:ind w:right="0" w:firstLine="640" w:firstLineChars="200"/>
        <w:jc w:val="left"/>
        <w:textAlignment w:val="baseline"/>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（四）申请点与参照零售点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pPr>
        <w:pStyle w:val="4"/>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293620"/>
            <wp:effectExtent l="0" t="0" r="6350" b="11430"/>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20"/>
                    <a:stretch>
                      <a:fillRect/>
                    </a:stretch>
                  </pic:blipFill>
                  <pic:spPr>
                    <a:xfrm>
                      <a:off x="0" y="0"/>
                      <a:ext cx="5194300" cy="2293620"/>
                    </a:xfrm>
                    <a:prstGeom prst="rect">
                      <a:avLst/>
                    </a:prstGeom>
                  </pic:spPr>
                </pic:pic>
              </a:graphicData>
            </a:graphic>
          </wp:inline>
        </w:drawing>
      </w:r>
    </w:p>
    <w:p>
      <w:pPr>
        <w:pStyle w:val="4"/>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（五）店面背靠背距离测量示意图，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pPr>
        <w:pStyle w:val="4"/>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3773170" cy="1861185"/>
            <wp:effectExtent l="0" t="0" r="1778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pPr>
        <w:pStyle w:val="4"/>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（六）店面隔着街道转角的，分别计算沿街店面的两边距离再相加，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pPr>
        <w:pStyle w:val="4"/>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22"/>
                    <a:srcRect t="17596"/>
                    <a:stretch>
                      <a:fillRect/>
                    </a:stretch>
                  </pic:blipFill>
                  <pic:spPr>
                    <a:xfrm>
                      <a:off x="0" y="0"/>
                      <a:ext cx="4768850" cy="2709545"/>
                    </a:xfrm>
                    <a:prstGeom prst="rect">
                      <a:avLst/>
                    </a:prstGeom>
                  </pic:spPr>
                </pic:pic>
              </a:graphicData>
            </a:graphic>
          </wp:inline>
        </w:drawing>
      </w:r>
    </w:p>
    <w:p>
      <w:pPr>
        <w:pStyle w:val="4"/>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（七）十字路口</w:t>
      </w:r>
    </w:p>
    <w:p>
      <w:pPr>
        <w:pStyle w:val="4"/>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pPr>
        <w:pStyle w:val="4"/>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23"/>
                    <a:stretch>
                      <a:fillRect/>
                    </a:stretch>
                  </pic:blipFill>
                  <pic:spPr>
                    <a:xfrm>
                      <a:off x="0" y="0"/>
                      <a:ext cx="3064510" cy="2741930"/>
                    </a:xfrm>
                    <a:prstGeom prst="rect">
                      <a:avLst/>
                    </a:prstGeom>
                  </pic:spPr>
                </pic:pic>
              </a:graphicData>
            </a:graphic>
          </wp:inline>
        </w:drawing>
      </w:r>
    </w:p>
    <w:p>
      <w:pPr>
        <w:pStyle w:val="4"/>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pPr>
        <w:pStyle w:val="4"/>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十字路口对角（有交通信号灯、人行横道或过街设施）</w:t>
      </w:r>
    </w:p>
    <w:p>
      <w:pPr>
        <w:pStyle w:val="4"/>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pStyle w:val="4"/>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6020"/>
            <wp:effectExtent l="0" t="0" r="0" b="11430"/>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24"/>
                    <a:stretch>
                      <a:fillRect/>
                    </a:stretch>
                  </pic:blipFill>
                  <pic:spPr>
                    <a:xfrm>
                      <a:off x="0" y="0"/>
                      <a:ext cx="2782892" cy="2481288"/>
                    </a:xfrm>
                    <a:prstGeom prst="rect">
                      <a:avLst/>
                    </a:prstGeom>
                  </pic:spPr>
                </pic:pic>
              </a:graphicData>
            </a:graphic>
          </wp:inline>
        </w:drawing>
      </w:r>
    </w:p>
    <w:p>
      <w:pPr>
        <w:pStyle w:val="4"/>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pPr>
        <w:pStyle w:val="4"/>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十字路口对角（无交通信号灯、人行横道或过街设施）</w:t>
      </w:r>
    </w:p>
    <w:p>
      <w:pPr>
        <w:pStyle w:val="4"/>
        <w:adjustRightInd w:val="0"/>
        <w:snapToGrid w:val="0"/>
        <w:spacing w:after="0"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pPr>
        <w:pStyle w:val="4"/>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25"/>
                    <a:stretch>
                      <a:fillRect/>
                    </a:stretch>
                  </pic:blipFill>
                  <pic:spPr>
                    <a:xfrm>
                      <a:off x="0" y="0"/>
                      <a:ext cx="2703830" cy="2475865"/>
                    </a:xfrm>
                    <a:prstGeom prst="rect">
                      <a:avLst/>
                    </a:prstGeom>
                  </pic:spPr>
                </pic:pic>
              </a:graphicData>
            </a:graphic>
          </wp:inline>
        </w:drawing>
      </w:r>
    </w:p>
    <w:p>
      <w:pPr>
        <w:pStyle w:val="4"/>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（八）中小学校、幼儿园的测量起始点为学校正常出入的校门口。有多个进出通道口的，选择距离零售点最短的进出通道口的门边，作为测量起始点。</w:t>
      </w:r>
    </w:p>
    <w:p>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3210" cy="2129155"/>
            <wp:effectExtent l="0" t="0" r="15240" b="4445"/>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26"/>
                    <a:stretch>
                      <a:fillRect/>
                    </a:stretch>
                  </pic:blipFill>
                  <pic:spPr>
                    <a:xfrm>
                      <a:off x="0" y="0"/>
                      <a:ext cx="2844973" cy="2145560"/>
                    </a:xfrm>
                    <a:prstGeom prst="rect">
                      <a:avLst/>
                    </a:prstGeom>
                  </pic:spPr>
                </pic:pic>
              </a:graphicData>
            </a:graphic>
          </wp:inline>
        </w:drawing>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pPr>
        <w:pStyle w:val="4"/>
        <w:adjustRightInd w:val="0"/>
        <w:snapToGrid w:val="0"/>
        <w:spacing w:after="0" w:line="30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（九）申请点与参照零售点</w:t>
      </w:r>
      <w:r>
        <w:rPr>
          <w:rFonts w:hint="eastAsia" w:ascii="仿宋_GB2312" w:hAnsi="仿宋_GB2312" w:eastAsia="仿宋_GB2312" w:cs="仿宋_GB2312"/>
          <w:spacing w:val="10"/>
          <w:sz w:val="32"/>
          <w:szCs w:val="32"/>
        </w:rPr>
        <w:t>之间有道路隔离情形的：</w:t>
      </w:r>
    </w:p>
    <w:p>
      <w:pPr>
        <w:pStyle w:val="4"/>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1.</w:t>
      </w: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pPr>
        <w:pStyle w:val="4"/>
        <w:spacing w:after="0"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8135" cy="2636520"/>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27">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pPr>
        <w:pStyle w:val="4"/>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2.</w:t>
      </w: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pPr>
        <w:pStyle w:val="4"/>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2630" cy="1891030"/>
            <wp:effectExtent l="0" t="0" r="13970" b="13970"/>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28"/>
                    <a:srcRect t="11409"/>
                    <a:stretch>
                      <a:fillRect/>
                    </a:stretch>
                  </pic:blipFill>
                  <pic:spPr>
                    <a:xfrm>
                      <a:off x="0" y="0"/>
                      <a:ext cx="3316677" cy="1922333"/>
                    </a:xfrm>
                    <a:prstGeom prst="rect">
                      <a:avLst/>
                    </a:prstGeom>
                  </pic:spPr>
                </pic:pic>
              </a:graphicData>
            </a:graphic>
          </wp:inline>
        </w:drawing>
      </w:r>
      <w:bookmarkStart w:id="0" w:name="attache_title"/>
      <w:bookmarkEnd w:id="0"/>
      <w:bookmarkStart w:id="1" w:name="Fuzhu"/>
      <w:bookmarkEnd w:id="1"/>
    </w:p>
    <w:p>
      <w:pPr>
        <w:spacing w:line="360" w:lineRule="auto"/>
        <w:ind w:right="-512" w:rightChars="-244"/>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pPr>
        <w:pStyle w:val="4"/>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（十）各类综合性商品批发市场、专业市场、集贸市场内部距离测量示意图，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29"/>
                    <a:stretch>
                      <a:fillRect/>
                    </a:stretch>
                  </pic:blipFill>
                  <pic:spPr>
                    <a:xfrm>
                      <a:off x="0" y="0"/>
                      <a:ext cx="3851275" cy="2245360"/>
                    </a:xfrm>
                    <a:prstGeom prst="rect">
                      <a:avLst/>
                    </a:prstGeom>
                  </pic:spPr>
                </pic:pic>
              </a:graphicData>
            </a:graphic>
          </wp:inline>
        </w:drawing>
      </w: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pPr>
        <w:pStyle w:val="4"/>
        <w:spacing w:after="0" w:line="360" w:lineRule="auto"/>
        <w:ind w:right="2"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（十一）申请点与参照零售点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30"/>
                    <a:stretch>
                      <a:fillRect/>
                    </a:stretch>
                  </pic:blipFill>
                  <pic:spPr>
                    <a:xfrm>
                      <a:off x="0" y="0"/>
                      <a:ext cx="5163185" cy="2213610"/>
                    </a:xfrm>
                    <a:prstGeom prst="rect">
                      <a:avLst/>
                    </a:prstGeom>
                  </pic:spPr>
                </pic:pic>
              </a:graphicData>
            </a:graphic>
          </wp:inline>
        </w:drawing>
      </w:r>
    </w:p>
    <w:p>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（十二）申请点或零售点多门情况</w:t>
      </w:r>
    </w:p>
    <w:p>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道路同侧情况</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33875" cy="2213610"/>
            <wp:effectExtent l="0" t="0" r="9525" b="1524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31"/>
                    <a:stretch>
                      <a:fillRect/>
                    </a:stretch>
                  </pic:blipFill>
                  <pic:spPr>
                    <a:xfrm rot="10800000" flipH="1" flipV="1">
                      <a:off x="0" y="0"/>
                      <a:ext cx="4333875" cy="2213610"/>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十字路口情况</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393315" cy="2199005"/>
            <wp:effectExtent l="0" t="0" r="6985" b="10795"/>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433119" cy="2235388"/>
                    </a:xfrm>
                    <a:prstGeom prst="rect">
                      <a:avLst/>
                    </a:prstGeom>
                    <a:noFill/>
                    <a:ln>
                      <a:noFill/>
                    </a:ln>
                  </pic:spPr>
                </pic:pic>
              </a:graphicData>
            </a:graphic>
          </wp:inline>
        </w:drawing>
      </w:r>
    </w:p>
    <w:p>
      <w:pPr>
        <w:adjustRightInd w:val="0"/>
        <w:snapToGrid w:val="0"/>
        <w:spacing w:line="336"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33"/>
                    <a:stretch>
                      <a:fillRect/>
                    </a:stretch>
                  </pic:blipFill>
                  <pic:spPr>
                    <a:xfrm>
                      <a:off x="0" y="0"/>
                      <a:ext cx="3131185" cy="2522855"/>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34"/>
                    <a:stretch>
                      <a:fillRect/>
                    </a:stretch>
                  </pic:blipFill>
                  <pic:spPr>
                    <a:xfrm>
                      <a:off x="0" y="0"/>
                      <a:ext cx="3330575" cy="2741930"/>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（十三）封闭式小区内部、广场等区域零售点的间距测量方法均以原设计道路、人行通道正常安全步行的最短距离进行测量。</w:t>
      </w:r>
    </w:p>
    <w:p>
      <w:pPr>
        <w:pStyle w:val="4"/>
        <w:adjustRightInd w:val="0"/>
        <w:snapToGrid w:val="0"/>
        <w:spacing w:after="0" w:line="336" w:lineRule="auto"/>
        <w:ind w:firstLine="680" w:firstLineChars="200"/>
        <w:jc w:val="left"/>
        <w:rPr>
          <w:rFonts w:hint="eastAsia" w:ascii="仿宋_GB2312" w:hAnsi="Times New Roman" w:eastAsia="仿宋_GB2312" w:cs="Times New Roman"/>
          <w:snapToGrid/>
          <w:kern w:val="2"/>
          <w:sz w:val="32"/>
          <w:szCs w:val="32"/>
          <w:lang w:eastAsia="zh-CN"/>
        </w:rPr>
        <w:sectPr>
          <w:pgSz w:w="11916" w:h="16848"/>
          <w:pgMar w:top="1440" w:right="1803" w:bottom="1440" w:left="1803" w:header="850" w:footer="1531" w:gutter="0"/>
          <w:pgNumType w:fmt="numberInDash" w:start="1"/>
          <w:cols w:space="0" w:num="1"/>
          <w:titlePg/>
          <w:rtlGutter w:val="0"/>
          <w:docGrid w:linePitch="0" w:charSpace="0"/>
        </w:sectPr>
      </w:pPr>
      <w:r>
        <w:rPr>
          <w:rFonts w:hint="eastAsia" w:ascii="仿宋_GB2312" w:hAnsi="仿宋_GB2312" w:eastAsia="仿宋_GB2312" w:cs="仿宋_GB2312"/>
          <w:spacing w:val="10"/>
          <w:sz w:val="32"/>
          <w:szCs w:val="32"/>
        </w:rPr>
        <w:t>（十四）特殊地形测量：因地形、地貌或设计等原因导致道路、通道成不规则形态，通过前述方法无法测量的，以可安全步行最短距离进行测量</w:t>
      </w:r>
      <w:r>
        <w:rPr>
          <w:rFonts w:hint="eastAsia" w:ascii="仿宋_GB2312" w:hAnsi="仿宋_GB2312" w:eastAsia="仿宋_GB2312" w:cs="仿宋_GB2312"/>
          <w:spacing w:val="10"/>
          <w:sz w:val="32"/>
          <w:szCs w:val="32"/>
          <w:lang w:eastAsia="zh-CN"/>
        </w:rPr>
        <w:t>。</w:t>
      </w:r>
    </w:p>
    <w:p>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pPr>
    </w:p>
    <w:p>
      <w:pPr>
        <w:spacing w:before="104" w:line="224" w:lineRule="auto"/>
        <w:ind w:left="619"/>
        <w:rPr>
          <w:rFonts w:ascii="黑体" w:hAnsi="黑体" w:eastAsia="黑体" w:cs="黑体"/>
          <w:spacing w:val="8"/>
          <w:sz w:val="32"/>
          <w:szCs w:val="32"/>
          <w:lang w:eastAsia="zh-CN"/>
        </w:rPr>
      </w:pPr>
      <w:r>
        <w:rPr>
          <w:rFonts w:hint="eastAsia" w:ascii="黑体" w:hAnsi="黑体" w:eastAsia="黑体" w:cs="黑体"/>
          <w:spacing w:val="8"/>
          <w:sz w:val="32"/>
          <w:szCs w:val="32"/>
          <w:lang w:eastAsia="zh-CN"/>
        </w:rPr>
        <w:t>附件2</w:t>
      </w:r>
    </w:p>
    <w:p>
      <w:pPr>
        <w:widowControl w:val="0"/>
        <w:kinsoku/>
        <w:autoSpaceDE/>
        <w:autoSpaceDN/>
        <w:adjustRightInd/>
        <w:spacing w:line="317" w:lineRule="auto"/>
        <w:jc w:val="center"/>
        <w:textAlignment w:val="auto"/>
        <w:rPr>
          <w:rFonts w:ascii="方正小标宋简体" w:hAnsi="Times New Roman" w:eastAsia="方正小标宋简体" w:cs="Times New Roman"/>
          <w:snapToGrid/>
          <w:color w:val="FF0000"/>
          <w:kern w:val="2"/>
          <w:sz w:val="44"/>
          <w:szCs w:val="44"/>
          <w:lang w:eastAsia="zh-CN"/>
        </w:rPr>
      </w:pPr>
      <w:r>
        <w:rPr>
          <w:rFonts w:hint="eastAsia" w:ascii="方正小标宋简体" w:hAnsi="Times New Roman" w:eastAsia="方正小标宋简体" w:cs="Times New Roman"/>
          <w:snapToGrid/>
          <w:kern w:val="2"/>
          <w:sz w:val="44"/>
          <w:szCs w:val="44"/>
          <w:lang w:eastAsia="zh-CN"/>
        </w:rPr>
        <w:t>云南省</w:t>
      </w:r>
      <w:r>
        <w:rPr>
          <w:rFonts w:hint="eastAsia" w:ascii="方正小标宋简体" w:hAnsi="Times New Roman" w:eastAsia="方正小标宋简体" w:cs="Times New Roman"/>
          <w:snapToGrid/>
          <w:kern w:val="2"/>
          <w:sz w:val="44"/>
          <w:szCs w:val="44"/>
          <w:lang w:val="en-US" w:eastAsia="zh-Hans"/>
        </w:rPr>
        <w:t>新平彝族傣族自治</w:t>
      </w:r>
      <w:r>
        <w:rPr>
          <w:rFonts w:hint="eastAsia" w:ascii="方正小标宋简体" w:hAnsi="Times New Roman" w:eastAsia="方正小标宋简体" w:cs="Times New Roman"/>
          <w:snapToGrid/>
          <w:kern w:val="2"/>
          <w:sz w:val="44"/>
          <w:szCs w:val="44"/>
          <w:lang w:eastAsia="zh-CN"/>
        </w:rPr>
        <w:t>县烟草制品零售点合理布局公示表</w:t>
      </w:r>
    </w:p>
    <w:p>
      <w:pPr>
        <w:kinsoku/>
        <w:autoSpaceDE/>
        <w:autoSpaceDN/>
        <w:adjustRightInd/>
        <w:snapToGrid/>
        <w:textAlignment w:val="auto"/>
        <w:rPr>
          <w:rFonts w:ascii="方正小标宋简体" w:hAnsi="Times New Roman" w:eastAsia="方正小标宋简体" w:cs="Times New Roman"/>
          <w:snapToGrid/>
          <w:color w:val="FF0000"/>
          <w:kern w:val="2"/>
          <w:sz w:val="32"/>
          <w:szCs w:val="32"/>
          <w:lang w:eastAsia="zh-CN"/>
        </w:rPr>
      </w:pPr>
      <w:r>
        <w:rPr>
          <w:rFonts w:hint="eastAsia" w:eastAsia="宋体"/>
          <w:lang w:eastAsia="zh-CN"/>
        </w:rPr>
        <w:t>单位：</w:t>
      </w:r>
      <w:r>
        <w:rPr>
          <w:rFonts w:hint="eastAsia" w:eastAsia="宋体"/>
          <w:lang w:val="en-US" w:eastAsia="zh-Hans"/>
        </w:rPr>
        <w:t>云南省新平彝族傣族自治县烟</w:t>
      </w:r>
      <w:r>
        <w:rPr>
          <w:rFonts w:hint="eastAsia" w:ascii="宋体" w:hAnsi="宋体" w:eastAsia="宋体" w:cs="宋体"/>
          <w:lang w:eastAsia="zh-CN"/>
        </w:rPr>
        <w:t>草专卖局</w:t>
      </w:r>
      <w:r>
        <w:rPr>
          <w:rFonts w:hint="eastAsia" w:eastAsia="宋体"/>
          <w:lang w:eastAsia="zh-CN"/>
        </w:rPr>
        <w:t>（盖章）                                 公示时间：</w:t>
      </w:r>
      <w:r>
        <w:rPr>
          <w:rFonts w:hint="eastAsia"/>
          <w:lang w:val="en-US" w:eastAsia="zh-CN"/>
        </w:rPr>
        <w:t>2025</w:t>
      </w:r>
      <w:r>
        <w:rPr>
          <w:lang w:eastAsia="zh-CN"/>
        </w:rPr>
        <w:t>年</w:t>
      </w:r>
      <w:r>
        <w:rPr>
          <w:rFonts w:hint="eastAsia"/>
          <w:lang w:val="en-US" w:eastAsia="zh-CN"/>
        </w:rPr>
        <w:t>xx</w:t>
      </w:r>
      <w:r>
        <w:rPr>
          <w:lang w:eastAsia="zh-CN"/>
        </w:rPr>
        <w:t>月</w:t>
      </w:r>
      <w:r>
        <w:rPr>
          <w:rFonts w:hint="eastAsia"/>
          <w:lang w:val="en-US" w:eastAsia="zh-CN"/>
        </w:rPr>
        <w:t>xx</w:t>
      </w:r>
      <w:r>
        <w:rPr>
          <w:lang w:eastAsia="zh-CN"/>
        </w:rPr>
        <w:t>日</w:t>
      </w:r>
      <w:r>
        <w:rPr>
          <w:rFonts w:hint="eastAsia"/>
          <w:lang w:val="en-US" w:eastAsia="zh-CN"/>
        </w:rPr>
        <w:t>-2025</w:t>
      </w:r>
      <w:r>
        <w:rPr>
          <w:lang w:eastAsia="zh-CN"/>
        </w:rPr>
        <w:t>年</w:t>
      </w:r>
      <w:r>
        <w:rPr>
          <w:rFonts w:hint="eastAsia"/>
          <w:lang w:val="en-US" w:eastAsia="zh-CN"/>
        </w:rPr>
        <w:t>xx</w:t>
      </w:r>
      <w:r>
        <w:rPr>
          <w:lang w:eastAsia="zh-CN"/>
        </w:rPr>
        <w:t>月</w:t>
      </w:r>
      <w:r>
        <w:rPr>
          <w:rFonts w:hint="eastAsia"/>
          <w:lang w:val="en-US" w:eastAsia="zh-CN"/>
        </w:rPr>
        <w:t>xx</w:t>
      </w:r>
      <w:r>
        <w:rPr>
          <w:lang w:eastAsia="zh-CN"/>
        </w:rPr>
        <w:t>日</w:t>
      </w:r>
    </w:p>
    <w:tbl>
      <w:tblPr>
        <w:tblStyle w:val="9"/>
        <w:tblpPr w:leftFromText="180" w:rightFromText="180" w:vertAnchor="text" w:horzAnchor="page" w:tblpXSpec="center" w:tblpY="44"/>
        <w:tblOverlap w:val="never"/>
        <w:tblW w:w="15256" w:type="dxa"/>
        <w:jc w:val="center"/>
        <w:tblLayout w:type="fixed"/>
        <w:tblCellMar>
          <w:top w:w="0" w:type="dxa"/>
          <w:left w:w="108" w:type="dxa"/>
          <w:bottom w:w="0" w:type="dxa"/>
          <w:right w:w="108" w:type="dxa"/>
        </w:tblCellMar>
      </w:tblPr>
      <w:tblGrid>
        <w:gridCol w:w="516"/>
        <w:gridCol w:w="1354"/>
        <w:gridCol w:w="2131"/>
        <w:gridCol w:w="735"/>
        <w:gridCol w:w="870"/>
        <w:gridCol w:w="630"/>
        <w:gridCol w:w="2985"/>
        <w:gridCol w:w="4380"/>
        <w:gridCol w:w="949"/>
        <w:gridCol w:w="706"/>
      </w:tblGrid>
      <w:tr>
        <w:tblPrEx>
          <w:tblCellMar>
            <w:top w:w="0" w:type="dxa"/>
            <w:left w:w="108" w:type="dxa"/>
            <w:bottom w:w="0" w:type="dxa"/>
            <w:right w:w="108" w:type="dxa"/>
          </w:tblCellMar>
        </w:tblPrEx>
        <w:trPr>
          <w:trHeight w:val="487" w:hRule="atLeast"/>
          <w:jc w:val="center"/>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b/>
                <w:bCs/>
                <w:color w:val="auto"/>
                <w:sz w:val="24"/>
                <w:szCs w:val="24"/>
              </w:rPr>
            </w:pPr>
            <w:r>
              <w:rPr>
                <w:rFonts w:hint="eastAsia" w:ascii="宋体" w:hAnsi="宋体" w:eastAsia="宋体" w:cs="宋体"/>
                <w:b/>
                <w:bCs/>
                <w:color w:val="auto"/>
                <w:sz w:val="24"/>
                <w:szCs w:val="24"/>
                <w:lang w:eastAsia="zh-CN" w:bidi="ar"/>
              </w:rPr>
              <w:t>名称</w:t>
            </w:r>
          </w:p>
        </w:tc>
        <w:tc>
          <w:tcPr>
            <w:tcW w:w="34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b/>
                <w:bCs/>
                <w:color w:val="auto"/>
                <w:sz w:val="24"/>
                <w:szCs w:val="24"/>
              </w:rPr>
            </w:pPr>
            <w:r>
              <w:rPr>
                <w:rFonts w:hint="eastAsia" w:ascii="宋体" w:hAnsi="宋体" w:eastAsia="宋体" w:cs="宋体"/>
                <w:b/>
                <w:bCs/>
                <w:color w:val="auto"/>
                <w:sz w:val="24"/>
                <w:szCs w:val="24"/>
                <w:lang w:eastAsia="zh-CN" w:bidi="ar"/>
              </w:rPr>
              <w:t>单元网格划分情况</w:t>
            </w:r>
          </w:p>
        </w:tc>
        <w:tc>
          <w:tcPr>
            <w:tcW w:w="223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b/>
                <w:bCs/>
                <w:color w:val="auto"/>
                <w:sz w:val="24"/>
                <w:szCs w:val="24"/>
              </w:rPr>
            </w:pPr>
            <w:r>
              <w:rPr>
                <w:rFonts w:hint="eastAsia" w:ascii="宋体" w:hAnsi="宋体" w:eastAsia="宋体" w:cs="宋体"/>
                <w:b/>
                <w:bCs/>
                <w:color w:val="auto"/>
                <w:sz w:val="24"/>
                <w:szCs w:val="24"/>
                <w:lang w:eastAsia="zh-CN" w:bidi="ar"/>
              </w:rPr>
              <w:t>单元网格数量情况</w:t>
            </w:r>
          </w:p>
        </w:tc>
        <w:tc>
          <w:tcPr>
            <w:tcW w:w="73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b/>
                <w:bCs/>
                <w:color w:val="auto"/>
                <w:sz w:val="24"/>
                <w:szCs w:val="24"/>
                <w:lang w:eastAsia="zh-CN" w:bidi="ar"/>
              </w:rPr>
            </w:pPr>
            <w:r>
              <w:rPr>
                <w:rFonts w:hint="eastAsia" w:ascii="宋体" w:hAnsi="宋体" w:eastAsia="宋体" w:cs="宋体"/>
                <w:b/>
                <w:bCs/>
                <w:color w:val="auto"/>
                <w:sz w:val="24"/>
                <w:szCs w:val="24"/>
                <w:lang w:eastAsia="zh-CN" w:bidi="ar"/>
              </w:rPr>
              <w:t>单元网格距离情况</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b/>
                <w:bCs/>
                <w:color w:val="auto"/>
                <w:sz w:val="24"/>
                <w:szCs w:val="24"/>
              </w:rPr>
            </w:pPr>
            <w:r>
              <w:rPr>
                <w:rFonts w:hint="eastAsia" w:ascii="宋体" w:hAnsi="宋体" w:eastAsia="宋体" w:cs="宋体"/>
                <w:b/>
                <w:bCs/>
                <w:color w:val="auto"/>
                <w:sz w:val="24"/>
                <w:szCs w:val="24"/>
                <w:lang w:eastAsia="zh-CN" w:bidi="ar"/>
              </w:rPr>
              <w:t>总量情况</w:t>
            </w:r>
          </w:p>
        </w:tc>
        <w:tc>
          <w:tcPr>
            <w:tcW w:w="706" w:type="dxa"/>
            <w:vMerge w:val="restart"/>
            <w:tcBorders>
              <w:top w:val="single" w:color="000000" w:sz="4" w:space="0"/>
              <w:left w:val="single" w:color="000000" w:sz="4" w:space="0"/>
              <w:right w:val="single" w:color="000000" w:sz="4" w:space="0"/>
            </w:tcBorders>
            <w:shd w:val="clear" w:color="auto" w:fill="auto"/>
            <w:noWrap/>
            <w:vAlign w:val="center"/>
          </w:tcPr>
          <w:p>
            <w:pPr>
              <w:jc w:val="center"/>
              <w:textAlignment w:val="center"/>
              <w:rPr>
                <w:rFonts w:ascii="宋体" w:hAnsi="宋体" w:eastAsia="宋体" w:cs="宋体"/>
                <w:b/>
                <w:bCs/>
                <w:color w:val="auto"/>
                <w:sz w:val="24"/>
                <w:szCs w:val="24"/>
                <w:lang w:eastAsia="zh-CN" w:bidi="ar"/>
              </w:rPr>
            </w:pPr>
            <w:r>
              <w:rPr>
                <w:rFonts w:hint="eastAsia" w:ascii="宋体" w:hAnsi="宋体" w:eastAsia="宋体" w:cs="宋体"/>
                <w:b/>
                <w:bCs/>
                <w:color w:val="auto"/>
                <w:sz w:val="24"/>
                <w:szCs w:val="24"/>
                <w:lang w:eastAsia="zh-CN" w:bidi="ar"/>
              </w:rPr>
              <w:t>备注</w:t>
            </w:r>
          </w:p>
        </w:tc>
      </w:tr>
      <w:tr>
        <w:tblPrEx>
          <w:tblCellMar>
            <w:top w:w="0" w:type="dxa"/>
            <w:left w:w="108" w:type="dxa"/>
            <w:bottom w:w="0" w:type="dxa"/>
            <w:right w:w="108" w:type="dxa"/>
          </w:tblCellMar>
        </w:tblPrEx>
        <w:trPr>
          <w:trHeight w:val="585" w:hRule="atLeast"/>
          <w:jc w:val="center"/>
        </w:trPr>
        <w:tc>
          <w:tcPr>
            <w:tcW w:w="516" w:type="dxa"/>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val="en-US" w:eastAsia="zh-Hans" w:bidi="ar"/>
              </w:rPr>
              <w:t>新平</w:t>
            </w:r>
            <w:r>
              <w:rPr>
                <w:rFonts w:hint="eastAsia" w:ascii="宋体" w:hAnsi="宋体" w:eastAsia="宋体" w:cs="宋体"/>
                <w:color w:val="auto"/>
                <w:sz w:val="18"/>
                <w:szCs w:val="18"/>
                <w:lang w:eastAsia="zh-CN" w:bidi="ar"/>
              </w:rPr>
              <w:t>县</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eastAsia="zh-CN" w:bidi="ar"/>
              </w:rPr>
              <w:t>名称</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eastAsia="zh-CN" w:bidi="ar"/>
              </w:rPr>
              <w:t>区域描述</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eastAsia="zh-CN" w:bidi="ar"/>
              </w:rPr>
              <w:t>规划数（个）</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eastAsia="zh-CN" w:bidi="ar"/>
              </w:rPr>
              <w:t>当前实际数（个）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eastAsia="zh-CN" w:bidi="ar"/>
              </w:rPr>
              <w:t>余量（个）</w:t>
            </w:r>
          </w:p>
        </w:tc>
        <w:tc>
          <w:tcPr>
            <w:tcW w:w="2985"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hint="eastAsia" w:ascii="宋体" w:hAnsi="宋体" w:eastAsia="宋体" w:cs="宋体"/>
                <w:color w:val="auto"/>
                <w:sz w:val="18"/>
                <w:szCs w:val="18"/>
                <w:lang w:eastAsia="zh-CN" w:bidi="ar"/>
              </w:rPr>
            </w:pPr>
            <w:r>
              <w:rPr>
                <w:rFonts w:hint="eastAsia" w:ascii="宋体" w:hAnsi="宋体" w:eastAsia="宋体" w:cs="宋体"/>
                <w:color w:val="auto"/>
                <w:sz w:val="18"/>
                <w:szCs w:val="18"/>
                <w:lang w:eastAsia="zh-CN" w:bidi="ar"/>
              </w:rPr>
              <w:t>零售点间距</w:t>
            </w:r>
          </w:p>
          <w:p>
            <w:pPr>
              <w:jc w:val="center"/>
              <w:textAlignment w:val="center"/>
              <w:rPr>
                <w:rFonts w:hint="eastAsia" w:ascii="宋体" w:hAnsi="宋体" w:eastAsia="宋体" w:cs="宋体"/>
                <w:color w:val="auto"/>
                <w:sz w:val="18"/>
                <w:szCs w:val="18"/>
                <w:lang w:eastAsia="zh-CN" w:bidi="ar"/>
              </w:rPr>
            </w:pPr>
            <w:r>
              <w:rPr>
                <w:rFonts w:hint="eastAsia" w:ascii="宋体" w:hAnsi="宋体" w:eastAsia="宋体" w:cs="宋体"/>
                <w:color w:val="auto"/>
                <w:sz w:val="18"/>
                <w:szCs w:val="18"/>
                <w:lang w:eastAsia="zh-CN" w:bidi="ar"/>
              </w:rPr>
              <w:t>（米）</w:t>
            </w:r>
          </w:p>
        </w:tc>
        <w:tc>
          <w:tcPr>
            <w:tcW w:w="4380"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hint="eastAsia" w:ascii="宋体" w:hAnsi="宋体" w:eastAsia="宋体" w:cs="宋体"/>
                <w:color w:val="auto"/>
                <w:sz w:val="18"/>
                <w:szCs w:val="18"/>
                <w:lang w:eastAsia="zh-CN" w:bidi="ar"/>
              </w:rPr>
            </w:pPr>
            <w:r>
              <w:rPr>
                <w:rFonts w:hint="eastAsia" w:ascii="宋体" w:hAnsi="宋体" w:eastAsia="宋体" w:cs="宋体"/>
                <w:color w:val="auto"/>
                <w:sz w:val="18"/>
                <w:szCs w:val="18"/>
                <w:lang w:eastAsia="zh-CN" w:bidi="ar"/>
              </w:rPr>
              <w:t>其他条件描述</w:t>
            </w:r>
          </w:p>
        </w:tc>
        <w:tc>
          <w:tcPr>
            <w:tcW w:w="949"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hint="eastAsia" w:ascii="宋体" w:hAnsi="宋体" w:eastAsia="宋体" w:cs="宋体"/>
                <w:color w:val="auto"/>
                <w:sz w:val="18"/>
                <w:szCs w:val="18"/>
                <w:lang w:eastAsia="zh-CN" w:bidi="ar"/>
              </w:rPr>
            </w:pPr>
            <w:r>
              <w:rPr>
                <w:rFonts w:hint="eastAsia" w:ascii="宋体" w:hAnsi="宋体" w:eastAsia="宋体" w:cs="宋体"/>
                <w:color w:val="auto"/>
                <w:sz w:val="18"/>
                <w:szCs w:val="18"/>
                <w:lang w:val="en-US" w:eastAsia="zh-Hans" w:bidi="ar"/>
              </w:rPr>
              <w:t>新平</w:t>
            </w:r>
            <w:r>
              <w:rPr>
                <w:rFonts w:hint="eastAsia" w:ascii="宋体" w:hAnsi="宋体" w:eastAsia="宋体" w:cs="宋体"/>
                <w:color w:val="auto"/>
                <w:sz w:val="18"/>
                <w:szCs w:val="18"/>
                <w:lang w:eastAsia="zh-CN" w:bidi="ar"/>
              </w:rPr>
              <w:t>县总量规划数（个）</w:t>
            </w:r>
          </w:p>
        </w:tc>
        <w:tc>
          <w:tcPr>
            <w:tcW w:w="706" w:type="dxa"/>
            <w:vMerge w:val="continue"/>
            <w:tcBorders>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color w:val="auto"/>
                <w:sz w:val="22"/>
                <w:szCs w:val="22"/>
                <w:lang w:eastAsia="zh-CN"/>
              </w:rPr>
            </w:pPr>
          </w:p>
        </w:tc>
      </w:tr>
      <w:tr>
        <w:tblPrEx>
          <w:tblCellMar>
            <w:top w:w="0" w:type="dxa"/>
            <w:left w:w="108" w:type="dxa"/>
            <w:bottom w:w="0" w:type="dxa"/>
            <w:right w:w="108" w:type="dxa"/>
          </w:tblCellMar>
        </w:tblPrEx>
        <w:trPr>
          <w:trHeight w:val="1211"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auto"/>
                <w:sz w:val="18"/>
                <w:szCs w:val="18"/>
                <w:lang w:eastAsia="zh-Hans"/>
              </w:rPr>
            </w:pPr>
            <w:r>
              <w:rPr>
                <w:rFonts w:hint="eastAsia" w:ascii="宋体" w:hAnsi="宋体" w:eastAsia="宋体" w:cs="宋体"/>
                <w:color w:val="auto"/>
                <w:sz w:val="18"/>
                <w:szCs w:val="18"/>
                <w:lang w:val="en-US" w:eastAsia="zh-Hans" w:bidi="ar"/>
              </w:rPr>
              <w:t>桂山街道</w:t>
            </w:r>
            <w:r>
              <w:rPr>
                <w:rFonts w:hint="default" w:ascii="宋体" w:hAnsi="宋体" w:eastAsia="宋体" w:cs="宋体"/>
                <w:color w:val="auto"/>
                <w:sz w:val="18"/>
                <w:szCs w:val="18"/>
                <w:lang w:eastAsia="zh-Hans" w:bidi="ar"/>
              </w:rPr>
              <w:t>-1</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auto"/>
                <w:sz w:val="18"/>
                <w:szCs w:val="18"/>
              </w:rPr>
            </w:pPr>
            <w:r>
              <w:rPr>
                <w:rFonts w:hint="eastAsia" w:ascii="宋体" w:hAnsi="宋体" w:eastAsia="宋体" w:cs="宋体"/>
                <w:sz w:val="18"/>
                <w:szCs w:val="18"/>
                <w:lang w:val="en-US" w:eastAsia="zh-CN"/>
              </w:rPr>
              <w:t>桂</w:t>
            </w:r>
            <w:r>
              <w:rPr>
                <w:rFonts w:hint="eastAsia" w:ascii="宋体" w:hAnsi="宋体" w:eastAsia="宋体" w:cs="宋体"/>
                <w:sz w:val="18"/>
                <w:szCs w:val="18"/>
                <w:lang w:val="en-US" w:eastAsia="zh-Hans"/>
              </w:rPr>
              <w:t>园</w:t>
            </w:r>
            <w:r>
              <w:rPr>
                <w:rFonts w:hint="eastAsia" w:ascii="宋体" w:hAnsi="宋体" w:eastAsia="宋体" w:cs="宋体"/>
                <w:sz w:val="18"/>
                <w:szCs w:val="18"/>
                <w:lang w:val="en-US" w:eastAsia="zh-CN"/>
              </w:rPr>
              <w:t>路</w:t>
            </w:r>
            <w:r>
              <w:rPr>
                <w:rFonts w:hint="eastAsia" w:ascii="宋体" w:hAnsi="宋体" w:eastAsia="宋体" w:cs="宋体"/>
                <w:sz w:val="18"/>
                <w:szCs w:val="18"/>
                <w:lang w:eastAsia="zh-CN"/>
              </w:rPr>
              <w:t>至育新路至平山路</w:t>
            </w:r>
            <w:r>
              <w:rPr>
                <w:rFonts w:hint="eastAsia" w:ascii="宋体" w:hAnsi="宋体" w:eastAsia="宋体" w:cs="宋体"/>
                <w:sz w:val="18"/>
                <w:szCs w:val="18"/>
                <w:lang w:val="en-US" w:eastAsia="zh-CN"/>
              </w:rPr>
              <w:t>至</w:t>
            </w:r>
            <w:r>
              <w:rPr>
                <w:rFonts w:hint="eastAsia" w:ascii="宋体" w:hAnsi="宋体" w:eastAsia="宋体" w:cs="宋体"/>
                <w:sz w:val="18"/>
                <w:szCs w:val="18"/>
                <w:lang w:val="en-US" w:eastAsia="zh-Hans"/>
              </w:rPr>
              <w:t>文化路以西片区</w:t>
            </w:r>
            <w:r>
              <w:rPr>
                <w:rFonts w:hint="eastAsia" w:ascii="宋体" w:hAnsi="宋体" w:eastAsia="宋体" w:cs="宋体"/>
                <w:sz w:val="18"/>
                <w:szCs w:val="18"/>
                <w:lang w:eastAsia="zh-CN"/>
              </w:rPr>
              <w:t>至</w:t>
            </w:r>
            <w:r>
              <w:rPr>
                <w:rFonts w:hint="eastAsia" w:ascii="宋体" w:hAnsi="宋体" w:eastAsia="宋体" w:cs="宋体"/>
                <w:sz w:val="18"/>
                <w:szCs w:val="18"/>
                <w:lang w:val="en-US" w:eastAsia="zh-Hans"/>
              </w:rPr>
              <w:t>河滨路</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195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189</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textAlignment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6</w:t>
            </w:r>
          </w:p>
        </w:tc>
        <w:tc>
          <w:tcPr>
            <w:tcW w:w="2985" w:type="dxa"/>
            <w:vMerge w:val="restart"/>
            <w:tcBorders>
              <w:top w:val="single" w:color="auto" w:sz="4" w:space="0"/>
              <w:left w:val="single" w:color="auto" w:sz="4" w:space="0"/>
              <w:right w:val="single" w:color="000000" w:sz="4" w:space="0"/>
            </w:tcBorders>
            <w:shd w:val="clear" w:color="auto" w:fill="auto"/>
            <w:vAlign w:val="center"/>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2" w:lineRule="auto"/>
              <w:textAlignment w:val="baseline"/>
              <w:rPr>
                <w:rFonts w:hint="eastAsia" w:asciiTheme="minorEastAsia" w:hAnsiTheme="minorEastAsia" w:eastAsiaTheme="minorEastAsia" w:cstheme="minorEastAsia"/>
                <w:sz w:val="18"/>
                <w:szCs w:val="18"/>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2" w:lineRule="auto"/>
              <w:textAlignment w:val="baseline"/>
              <w:rPr>
                <w:rFonts w:hint="eastAsia" w:asciiTheme="minorEastAsia" w:hAnsiTheme="minorEastAsia" w:eastAsiaTheme="minorEastAsia" w:cstheme="minorEastAsia"/>
                <w:sz w:val="18"/>
                <w:szCs w:val="18"/>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2" w:lineRule="auto"/>
              <w:textAlignment w:val="baseline"/>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城区街道零售点间隔距离</w:t>
            </w:r>
            <w:r>
              <w:rPr>
                <w:rFonts w:hint="eastAsia" w:asciiTheme="minorEastAsia" w:hAnsiTheme="minorEastAsia" w:eastAsiaTheme="minorEastAsia" w:cstheme="minorEastAsia"/>
                <w:sz w:val="18"/>
                <w:szCs w:val="18"/>
                <w:lang w:val="en-US" w:eastAsia="zh-CN"/>
              </w:rPr>
              <w:t>不低于</w:t>
            </w:r>
            <w:r>
              <w:rPr>
                <w:rFonts w:hint="eastAsia" w:asciiTheme="minorEastAsia" w:hAnsiTheme="minorEastAsia" w:eastAsiaTheme="minorEastAsia" w:cstheme="minorEastAsia"/>
                <w:sz w:val="18"/>
                <w:szCs w:val="18"/>
              </w:rPr>
              <w:t>50米</w:t>
            </w:r>
            <w:r>
              <w:rPr>
                <w:rFonts w:hint="eastAsia" w:asciiTheme="minorEastAsia" w:hAnsiTheme="minorEastAsia" w:eastAsiaTheme="minorEastAsia" w:cstheme="minorEastAsia"/>
                <w:sz w:val="18"/>
                <w:szCs w:val="18"/>
                <w:lang w:eastAsia="zh-CN"/>
              </w:rPr>
              <w:t>。</w:t>
            </w:r>
          </w:p>
          <w:p>
            <w:pPr>
              <w:pStyle w:val="2"/>
              <w:numPr>
                <w:ilvl w:val="0"/>
                <w:numId w:val="0"/>
              </w:numPr>
              <w:ind w:leftChars="0"/>
              <w:rPr>
                <w:rFonts w:hint="default"/>
                <w:lang w:val="en-US" w:eastAsia="zh-CN"/>
              </w:rPr>
            </w:pPr>
          </w:p>
        </w:tc>
        <w:tc>
          <w:tcPr>
            <w:tcW w:w="4380" w:type="dxa"/>
            <w:vMerge w:val="restart"/>
            <w:tcBorders>
              <w:top w:val="single" w:color="auto" w:sz="4" w:space="0"/>
              <w:left w:val="single" w:color="000000" w:sz="4" w:space="0"/>
              <w:bottom w:val="single" w:color="auto" w:sz="4" w:space="0"/>
              <w:right w:val="single" w:color="auto" w:sz="4" w:space="0"/>
            </w:tcBorders>
            <w:shd w:val="clear" w:color="auto" w:fill="auto"/>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336" w:lineRule="auto"/>
              <w:textAlignment w:val="baseline"/>
              <w:rPr>
                <w:rFonts w:hint="eastAsia" w:asciiTheme="minorEastAsia" w:hAnsiTheme="minorEastAsia" w:eastAsiaTheme="minorEastAsia" w:cstheme="minorEastAsia"/>
                <w:snapToGrid w:val="0"/>
                <w:color w:val="000000"/>
                <w:sz w:val="18"/>
                <w:szCs w:val="18"/>
                <w:lang w:val="en-US" w:eastAsia="zh-CN" w:bidi="ar-SA"/>
              </w:rPr>
            </w:pPr>
            <w:r>
              <w:rPr>
                <w:rFonts w:hint="eastAsia" w:asciiTheme="minorEastAsia" w:hAnsiTheme="minorEastAsia" w:eastAsiaTheme="minorEastAsia" w:cstheme="minorEastAsia"/>
                <w:snapToGrid w:val="0"/>
                <w:color w:val="000000"/>
                <w:spacing w:val="-3"/>
                <w:kern w:val="0"/>
                <w:sz w:val="18"/>
                <w:szCs w:val="18"/>
                <w:lang w:val="en-US" w:eastAsia="zh-CN" w:bidi="ar-SA"/>
              </w:rPr>
              <w:t>1.</w:t>
            </w:r>
            <w:r>
              <w:rPr>
                <w:rFonts w:hint="eastAsia" w:asciiTheme="minorEastAsia" w:hAnsiTheme="minorEastAsia" w:eastAsiaTheme="minorEastAsia" w:cstheme="minorEastAsia"/>
                <w:snapToGrid w:val="0"/>
                <w:color w:val="000000"/>
                <w:sz w:val="18"/>
                <w:szCs w:val="18"/>
                <w:lang w:val="en-US" w:eastAsia="zh-CN" w:bidi="ar-SA"/>
              </w:rPr>
              <w:t>农</w:t>
            </w:r>
            <w:r>
              <w:rPr>
                <w:rFonts w:hint="eastAsia" w:asciiTheme="minorEastAsia" w:hAnsiTheme="minorEastAsia" w:eastAsiaTheme="minorEastAsia" w:cstheme="minorEastAsia"/>
                <w:snapToGrid w:val="0"/>
                <w:color w:val="000000"/>
                <w:sz w:val="18"/>
                <w:szCs w:val="18"/>
                <w:lang w:val="en-US" w:eastAsia="en-US" w:bidi="ar-SA"/>
              </w:rPr>
              <w:t>村</w:t>
            </w:r>
            <w:r>
              <w:rPr>
                <w:rFonts w:hint="eastAsia" w:asciiTheme="minorEastAsia" w:hAnsiTheme="minorEastAsia" w:eastAsiaTheme="minorEastAsia" w:cstheme="minorEastAsia"/>
                <w:snapToGrid w:val="0"/>
                <w:color w:val="000000"/>
                <w:sz w:val="18"/>
                <w:szCs w:val="18"/>
                <w:lang w:val="en-US" w:eastAsia="zh-CN" w:bidi="ar-SA"/>
              </w:rPr>
              <w:t>区域</w:t>
            </w:r>
            <w:r>
              <w:rPr>
                <w:rFonts w:hint="eastAsia" w:asciiTheme="minorEastAsia" w:hAnsiTheme="minorEastAsia" w:eastAsiaTheme="minorEastAsia" w:cstheme="minorEastAsia"/>
                <w:snapToGrid w:val="0"/>
                <w:color w:val="000000"/>
                <w:sz w:val="18"/>
                <w:szCs w:val="18"/>
                <w:lang w:val="en-US" w:eastAsia="en-US" w:bidi="ar-SA"/>
              </w:rPr>
              <w:t>烟草制品零售点的设置</w:t>
            </w:r>
            <w:r>
              <w:rPr>
                <w:rFonts w:hint="eastAsia" w:asciiTheme="minorEastAsia" w:hAnsiTheme="minorEastAsia" w:eastAsiaTheme="minorEastAsia" w:cstheme="minorEastAsia"/>
                <w:snapToGrid w:val="0"/>
                <w:color w:val="000000"/>
                <w:sz w:val="18"/>
                <w:szCs w:val="18"/>
                <w:lang w:val="en-US" w:eastAsia="zh-Hans" w:bidi="ar-SA"/>
              </w:rPr>
              <w:t>。</w:t>
            </w:r>
            <w:r>
              <w:rPr>
                <w:rFonts w:hint="eastAsia" w:asciiTheme="minorEastAsia" w:hAnsiTheme="minorEastAsia" w:eastAsiaTheme="minorEastAsia" w:cstheme="minorEastAsia"/>
                <w:snapToGrid w:val="0"/>
                <w:color w:val="000000"/>
                <w:sz w:val="18"/>
                <w:szCs w:val="18"/>
                <w:lang w:val="en-US" w:eastAsia="en-US" w:bidi="ar-SA"/>
              </w:rPr>
              <w:t>按居住人口数布局，原则上以行政村</w:t>
            </w:r>
            <w:r>
              <w:rPr>
                <w:rFonts w:hint="eastAsia" w:asciiTheme="minorEastAsia" w:hAnsiTheme="minorEastAsia" w:eastAsiaTheme="minorEastAsia" w:cstheme="minorEastAsia"/>
                <w:snapToGrid w:val="0"/>
                <w:color w:val="000000"/>
                <w:sz w:val="18"/>
                <w:szCs w:val="18"/>
                <w:lang w:val="en-US" w:eastAsia="zh-CN" w:bidi="ar-SA"/>
              </w:rPr>
              <w:t>（社区）</w:t>
            </w:r>
            <w:r>
              <w:rPr>
                <w:rFonts w:hint="eastAsia" w:asciiTheme="minorEastAsia" w:hAnsiTheme="minorEastAsia" w:eastAsiaTheme="minorEastAsia" w:cstheme="minorEastAsia"/>
                <w:snapToGrid w:val="0"/>
                <w:color w:val="000000"/>
                <w:sz w:val="18"/>
                <w:szCs w:val="18"/>
                <w:lang w:val="en-US" w:eastAsia="en-US" w:bidi="ar-SA"/>
              </w:rPr>
              <w:t>为单位，行政村</w:t>
            </w:r>
            <w:r>
              <w:rPr>
                <w:rFonts w:hint="eastAsia" w:asciiTheme="minorEastAsia" w:hAnsiTheme="minorEastAsia" w:eastAsiaTheme="minorEastAsia" w:cstheme="minorEastAsia"/>
                <w:snapToGrid w:val="0"/>
                <w:color w:val="000000"/>
                <w:sz w:val="18"/>
                <w:szCs w:val="18"/>
                <w:lang w:val="en-US" w:eastAsia="zh-CN" w:bidi="ar-SA"/>
              </w:rPr>
              <w:t>（社区）</w:t>
            </w:r>
            <w:r>
              <w:rPr>
                <w:rFonts w:hint="eastAsia" w:asciiTheme="minorEastAsia" w:hAnsiTheme="minorEastAsia" w:eastAsiaTheme="minorEastAsia" w:cstheme="minorEastAsia"/>
                <w:snapToGrid w:val="0"/>
                <w:color w:val="000000"/>
                <w:sz w:val="18"/>
                <w:szCs w:val="18"/>
                <w:lang w:val="en-US" w:eastAsia="en-US" w:bidi="ar-SA"/>
              </w:rPr>
              <w:t>总人口在</w:t>
            </w:r>
            <w:r>
              <w:rPr>
                <w:rFonts w:hint="eastAsia" w:asciiTheme="minorEastAsia" w:hAnsiTheme="minorEastAsia" w:eastAsiaTheme="minorEastAsia" w:cstheme="minorEastAsia"/>
                <w:snapToGrid w:val="0"/>
                <w:color w:val="000000"/>
                <w:sz w:val="18"/>
                <w:szCs w:val="18"/>
                <w:lang w:val="en-US" w:eastAsia="zh-CN" w:bidi="ar-SA"/>
              </w:rPr>
              <w:t>600</w:t>
            </w:r>
            <w:r>
              <w:rPr>
                <w:rFonts w:hint="eastAsia" w:asciiTheme="minorEastAsia" w:hAnsiTheme="minorEastAsia" w:eastAsiaTheme="minorEastAsia" w:cstheme="minorEastAsia"/>
                <w:snapToGrid w:val="0"/>
                <w:color w:val="000000"/>
                <w:sz w:val="18"/>
                <w:szCs w:val="18"/>
                <w:lang w:val="en-US" w:eastAsia="en-US" w:bidi="ar-SA"/>
              </w:rPr>
              <w:t>人以</w:t>
            </w:r>
            <w:r>
              <w:rPr>
                <w:rFonts w:hint="eastAsia" w:asciiTheme="minorEastAsia" w:hAnsiTheme="minorEastAsia" w:eastAsiaTheme="minorEastAsia" w:cstheme="minorEastAsia"/>
                <w:snapToGrid w:val="0"/>
                <w:color w:val="000000"/>
                <w:sz w:val="18"/>
                <w:szCs w:val="18"/>
                <w:lang w:val="en-US" w:eastAsia="zh-CN" w:bidi="ar-SA"/>
              </w:rPr>
              <w:t>内</w:t>
            </w:r>
            <w:r>
              <w:rPr>
                <w:rFonts w:hint="eastAsia" w:asciiTheme="minorEastAsia" w:hAnsiTheme="minorEastAsia" w:eastAsiaTheme="minorEastAsia" w:cstheme="minorEastAsia"/>
                <w:snapToGrid w:val="0"/>
                <w:color w:val="000000"/>
                <w:sz w:val="18"/>
                <w:szCs w:val="18"/>
                <w:lang w:val="en-US" w:eastAsia="en-US" w:bidi="ar-SA"/>
              </w:rPr>
              <w:t>的设置1个零售点</w:t>
            </w:r>
            <w:r>
              <w:rPr>
                <w:rFonts w:hint="eastAsia" w:asciiTheme="minorEastAsia" w:hAnsiTheme="minorEastAsia" w:eastAsiaTheme="minorEastAsia" w:cstheme="minorEastAsia"/>
                <w:snapToGrid w:val="0"/>
                <w:color w:val="000000"/>
                <w:sz w:val="18"/>
                <w:szCs w:val="18"/>
                <w:lang w:val="en-US" w:eastAsia="zh-CN" w:bidi="ar-SA"/>
              </w:rPr>
              <w:t>，</w:t>
            </w:r>
            <w:r>
              <w:rPr>
                <w:rFonts w:hint="eastAsia" w:asciiTheme="minorEastAsia" w:hAnsiTheme="minorEastAsia" w:eastAsiaTheme="minorEastAsia" w:cstheme="minorEastAsia"/>
                <w:snapToGrid w:val="0"/>
                <w:color w:val="000000"/>
                <w:sz w:val="18"/>
                <w:szCs w:val="18"/>
                <w:lang w:val="en-US" w:eastAsia="en-US" w:bidi="ar-SA"/>
              </w:rPr>
              <w:t>每增加</w:t>
            </w:r>
            <w:r>
              <w:rPr>
                <w:rFonts w:hint="eastAsia" w:asciiTheme="minorEastAsia" w:hAnsiTheme="minorEastAsia" w:eastAsiaTheme="minorEastAsia" w:cstheme="minorEastAsia"/>
                <w:snapToGrid w:val="0"/>
                <w:color w:val="000000"/>
                <w:sz w:val="18"/>
                <w:szCs w:val="18"/>
                <w:lang w:val="en-US" w:eastAsia="zh-CN" w:bidi="ar-SA"/>
              </w:rPr>
              <w:t>600</w:t>
            </w:r>
            <w:r>
              <w:rPr>
                <w:rFonts w:hint="eastAsia" w:asciiTheme="minorEastAsia" w:hAnsiTheme="minorEastAsia" w:eastAsiaTheme="minorEastAsia" w:cstheme="minorEastAsia"/>
                <w:snapToGrid w:val="0"/>
                <w:color w:val="000000"/>
                <w:sz w:val="18"/>
                <w:szCs w:val="18"/>
                <w:lang w:val="en-US" w:eastAsia="en-US" w:bidi="ar-SA"/>
              </w:rPr>
              <w:t>人可增设1个零售点，以此类推（居住人口数以</w:t>
            </w:r>
            <w:r>
              <w:rPr>
                <w:rFonts w:hint="eastAsia" w:asciiTheme="minorEastAsia" w:hAnsiTheme="minorEastAsia" w:eastAsiaTheme="minorEastAsia" w:cstheme="minorEastAsia"/>
                <w:snapToGrid w:val="0"/>
                <w:color w:val="000000"/>
                <w:sz w:val="18"/>
                <w:szCs w:val="18"/>
                <w:lang w:val="en-US" w:eastAsia="zh-CN" w:bidi="ar-SA"/>
              </w:rPr>
              <w:t>公安机关</w:t>
            </w:r>
            <w:r>
              <w:rPr>
                <w:rFonts w:hint="eastAsia" w:asciiTheme="minorEastAsia" w:hAnsiTheme="minorEastAsia" w:eastAsiaTheme="minorEastAsia" w:cstheme="minorEastAsia"/>
                <w:snapToGrid w:val="0"/>
                <w:color w:val="000000"/>
                <w:sz w:val="18"/>
                <w:szCs w:val="18"/>
                <w:lang w:val="en-US" w:eastAsia="en-US" w:bidi="ar-SA"/>
              </w:rPr>
              <w:t>提供的数据为准）</w:t>
            </w:r>
            <w:r>
              <w:rPr>
                <w:rFonts w:hint="eastAsia" w:asciiTheme="minorEastAsia" w:hAnsiTheme="minorEastAsia" w:eastAsiaTheme="minorEastAsia" w:cstheme="minorEastAsia"/>
                <w:snapToGrid w:val="0"/>
                <w:color w:val="000000"/>
                <w:sz w:val="18"/>
                <w:szCs w:val="18"/>
                <w:lang w:val="en-US" w:eastAsia="zh-CN" w:bidi="ar-SA"/>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336" w:lineRule="auto"/>
              <w:textAlignment w:val="baseline"/>
              <w:rPr>
                <w:rFonts w:hint="eastAsia" w:asciiTheme="minorEastAsia" w:hAnsiTheme="minorEastAsia" w:eastAsiaTheme="minorEastAsia" w:cstheme="minorEastAsia"/>
                <w:snapToGrid w:val="0"/>
                <w:color w:val="000000"/>
                <w:spacing w:val="-3"/>
                <w:kern w:val="0"/>
                <w:sz w:val="18"/>
                <w:szCs w:val="18"/>
                <w:lang w:val="en-US" w:eastAsia="zh-CN" w:bidi="ar-SA"/>
              </w:rPr>
            </w:pPr>
            <w:r>
              <w:rPr>
                <w:rFonts w:hint="eastAsia" w:asciiTheme="minorEastAsia" w:hAnsiTheme="minorEastAsia" w:eastAsiaTheme="minorEastAsia" w:cstheme="minorEastAsia"/>
                <w:snapToGrid w:val="0"/>
                <w:color w:val="000000"/>
                <w:spacing w:val="-3"/>
                <w:kern w:val="0"/>
                <w:sz w:val="18"/>
                <w:szCs w:val="18"/>
                <w:lang w:val="en-US" w:eastAsia="zh-CN" w:bidi="ar-SA"/>
              </w:rPr>
              <w:t>2.</w:t>
            </w:r>
            <w:r>
              <w:rPr>
                <w:rFonts w:hint="eastAsia" w:asciiTheme="minorEastAsia" w:hAnsiTheme="minorEastAsia" w:eastAsiaTheme="minorEastAsia" w:cstheme="minorEastAsia"/>
                <w:snapToGrid w:val="0"/>
                <w:color w:val="000000"/>
                <w:spacing w:val="-3"/>
                <w:kern w:val="0"/>
                <w:sz w:val="18"/>
                <w:szCs w:val="18"/>
                <w:lang w:val="en-US" w:eastAsia="en-US" w:bidi="ar-SA"/>
              </w:rPr>
              <w:t>人口较为集中</w:t>
            </w:r>
            <w:r>
              <w:rPr>
                <w:rFonts w:hint="eastAsia" w:asciiTheme="minorEastAsia" w:hAnsiTheme="minorEastAsia" w:eastAsiaTheme="minorEastAsia" w:cstheme="minorEastAsia"/>
                <w:snapToGrid w:val="0"/>
                <w:color w:val="000000"/>
                <w:spacing w:val="-3"/>
                <w:kern w:val="0"/>
                <w:sz w:val="18"/>
                <w:szCs w:val="18"/>
                <w:lang w:val="en-US" w:eastAsia="zh-Hans" w:bidi="ar-SA"/>
              </w:rPr>
              <w:t>、</w:t>
            </w:r>
            <w:r>
              <w:rPr>
                <w:rFonts w:hint="eastAsia" w:asciiTheme="minorEastAsia" w:hAnsiTheme="minorEastAsia" w:eastAsiaTheme="minorEastAsia" w:cstheme="minorEastAsia"/>
                <w:snapToGrid w:val="0"/>
                <w:color w:val="000000"/>
                <w:spacing w:val="-3"/>
                <w:kern w:val="0"/>
                <w:sz w:val="18"/>
                <w:szCs w:val="18"/>
                <w:lang w:val="en-US" w:eastAsia="en-US" w:bidi="ar-SA"/>
              </w:rPr>
              <w:t>相对</w:t>
            </w:r>
            <w:r>
              <w:rPr>
                <w:rFonts w:hint="eastAsia" w:asciiTheme="minorEastAsia" w:hAnsiTheme="minorEastAsia" w:eastAsiaTheme="minorEastAsia" w:cstheme="minorEastAsia"/>
                <w:snapToGrid w:val="0"/>
                <w:color w:val="000000"/>
                <w:spacing w:val="-3"/>
                <w:kern w:val="0"/>
                <w:sz w:val="18"/>
                <w:szCs w:val="18"/>
                <w:lang w:val="en-US" w:eastAsia="zh-CN" w:bidi="ar-SA"/>
              </w:rPr>
              <w:t>封闭的</w:t>
            </w:r>
            <w:r>
              <w:rPr>
                <w:rFonts w:hint="eastAsia" w:asciiTheme="minorEastAsia" w:hAnsiTheme="minorEastAsia" w:eastAsiaTheme="minorEastAsia" w:cstheme="minorEastAsia"/>
                <w:snapToGrid w:val="0"/>
                <w:color w:val="000000"/>
                <w:spacing w:val="-3"/>
                <w:kern w:val="0"/>
                <w:sz w:val="18"/>
                <w:szCs w:val="18"/>
                <w:lang w:val="en-US" w:eastAsia="en-US" w:bidi="ar-SA"/>
              </w:rPr>
              <w:t>综合性批发市场、专业市场</w:t>
            </w:r>
            <w:r>
              <w:rPr>
                <w:rFonts w:hint="eastAsia" w:asciiTheme="minorEastAsia" w:hAnsiTheme="minorEastAsia" w:eastAsiaTheme="minorEastAsia" w:cstheme="minorEastAsia"/>
                <w:snapToGrid w:val="0"/>
                <w:color w:val="000000"/>
                <w:spacing w:val="-3"/>
                <w:kern w:val="0"/>
                <w:sz w:val="18"/>
                <w:szCs w:val="18"/>
                <w:lang w:val="en-US" w:eastAsia="zh-CN" w:bidi="ar-SA"/>
              </w:rPr>
              <w:t>、集</w:t>
            </w:r>
            <w:r>
              <w:rPr>
                <w:rFonts w:hint="eastAsia" w:asciiTheme="minorEastAsia" w:hAnsiTheme="minorEastAsia" w:eastAsiaTheme="minorEastAsia" w:cstheme="minorEastAsia"/>
                <w:snapToGrid w:val="0"/>
                <w:color w:val="000000"/>
                <w:spacing w:val="-3"/>
                <w:kern w:val="0"/>
                <w:sz w:val="18"/>
                <w:szCs w:val="18"/>
                <w:lang w:val="en-US" w:eastAsia="en-US" w:bidi="ar-SA"/>
              </w:rPr>
              <w:t>贸市场的规划。根据该区域</w:t>
            </w:r>
            <w:r>
              <w:rPr>
                <w:rFonts w:hint="eastAsia" w:asciiTheme="minorEastAsia" w:hAnsiTheme="minorEastAsia" w:eastAsiaTheme="minorEastAsia" w:cstheme="minorEastAsia"/>
                <w:snapToGrid w:val="0"/>
                <w:color w:val="000000"/>
                <w:spacing w:val="-3"/>
                <w:kern w:val="0"/>
                <w:sz w:val="18"/>
                <w:szCs w:val="18"/>
                <w:lang w:val="en-US" w:eastAsia="zh-CN" w:bidi="ar-SA"/>
              </w:rPr>
              <w:t>内</w:t>
            </w:r>
            <w:r>
              <w:rPr>
                <w:rFonts w:hint="eastAsia" w:asciiTheme="minorEastAsia" w:hAnsiTheme="minorEastAsia" w:eastAsiaTheme="minorEastAsia" w:cstheme="minorEastAsia"/>
                <w:snapToGrid w:val="0"/>
                <w:color w:val="000000"/>
                <w:spacing w:val="-3"/>
                <w:kern w:val="0"/>
                <w:sz w:val="18"/>
                <w:szCs w:val="18"/>
                <w:lang w:val="en-US" w:eastAsia="en-US" w:bidi="ar-SA"/>
              </w:rPr>
              <w:t>固定商铺数量设置</w:t>
            </w:r>
            <w:r>
              <w:rPr>
                <w:rFonts w:hint="eastAsia" w:asciiTheme="minorEastAsia" w:hAnsiTheme="minorEastAsia" w:eastAsiaTheme="minorEastAsia" w:cstheme="minorEastAsia"/>
                <w:snapToGrid w:val="0"/>
                <w:color w:val="000000"/>
                <w:spacing w:val="-3"/>
                <w:kern w:val="0"/>
                <w:sz w:val="18"/>
                <w:szCs w:val="18"/>
                <w:lang w:val="en-US" w:eastAsia="zh-CN" w:bidi="ar-SA"/>
              </w:rPr>
              <w:t>，每</w:t>
            </w:r>
            <w:r>
              <w:rPr>
                <w:rFonts w:hint="eastAsia" w:asciiTheme="minorEastAsia" w:hAnsiTheme="minorEastAsia" w:eastAsiaTheme="minorEastAsia" w:cstheme="minorEastAsia"/>
                <w:snapToGrid w:val="0"/>
                <w:color w:val="000000"/>
                <w:spacing w:val="-3"/>
                <w:kern w:val="0"/>
                <w:sz w:val="18"/>
                <w:szCs w:val="18"/>
                <w:lang w:val="en-US" w:eastAsia="en-US" w:bidi="ar-SA"/>
              </w:rPr>
              <w:t>20户</w:t>
            </w:r>
            <w:r>
              <w:rPr>
                <w:rFonts w:hint="eastAsia" w:asciiTheme="minorEastAsia" w:hAnsiTheme="minorEastAsia" w:eastAsiaTheme="minorEastAsia" w:cstheme="minorEastAsia"/>
                <w:snapToGrid w:val="0"/>
                <w:color w:val="000000"/>
                <w:spacing w:val="-3"/>
                <w:kern w:val="0"/>
                <w:sz w:val="18"/>
                <w:szCs w:val="18"/>
                <w:lang w:val="en-US" w:eastAsia="zh-CN" w:bidi="ar-SA"/>
              </w:rPr>
              <w:t>设置</w:t>
            </w:r>
            <w:r>
              <w:rPr>
                <w:rFonts w:hint="eastAsia" w:asciiTheme="minorEastAsia" w:hAnsiTheme="minorEastAsia" w:eastAsiaTheme="minorEastAsia" w:cstheme="minorEastAsia"/>
                <w:snapToGrid w:val="0"/>
                <w:color w:val="000000"/>
                <w:spacing w:val="-3"/>
                <w:kern w:val="0"/>
                <w:sz w:val="18"/>
                <w:szCs w:val="18"/>
                <w:lang w:val="en-US" w:eastAsia="en-US" w:bidi="ar-SA"/>
              </w:rPr>
              <w:t>1个</w:t>
            </w:r>
            <w:r>
              <w:rPr>
                <w:rFonts w:hint="eastAsia" w:asciiTheme="minorEastAsia" w:hAnsiTheme="minorEastAsia" w:eastAsiaTheme="minorEastAsia" w:cstheme="minorEastAsia"/>
                <w:snapToGrid w:val="0"/>
                <w:color w:val="000000"/>
                <w:spacing w:val="-3"/>
                <w:kern w:val="0"/>
                <w:sz w:val="18"/>
                <w:szCs w:val="18"/>
                <w:lang w:val="en-US" w:eastAsia="zh-CN" w:bidi="ar-SA"/>
              </w:rPr>
              <w:t>零售点</w:t>
            </w:r>
            <w:r>
              <w:rPr>
                <w:rFonts w:hint="eastAsia" w:asciiTheme="minorEastAsia" w:hAnsiTheme="minorEastAsia" w:eastAsiaTheme="minorEastAsia" w:cstheme="minorEastAsia"/>
                <w:snapToGrid w:val="0"/>
                <w:color w:val="000000"/>
                <w:spacing w:val="-3"/>
                <w:kern w:val="0"/>
                <w:sz w:val="18"/>
                <w:szCs w:val="18"/>
                <w:lang w:val="en-US" w:eastAsia="zh-Hans" w:bidi="ar-SA"/>
              </w:rPr>
              <w:t>，</w:t>
            </w:r>
            <w:r>
              <w:rPr>
                <w:rFonts w:hint="eastAsia" w:asciiTheme="minorEastAsia" w:hAnsiTheme="minorEastAsia" w:eastAsiaTheme="minorEastAsia" w:cstheme="minorEastAsia"/>
                <w:snapToGrid w:val="0"/>
                <w:color w:val="000000"/>
                <w:spacing w:val="-3"/>
                <w:kern w:val="0"/>
                <w:sz w:val="18"/>
                <w:szCs w:val="18"/>
                <w:lang w:val="en-US" w:eastAsia="en-US" w:bidi="ar-SA"/>
              </w:rPr>
              <w:t>零售点间距不低于</w:t>
            </w:r>
            <w:r>
              <w:rPr>
                <w:rFonts w:hint="eastAsia" w:asciiTheme="minorEastAsia" w:hAnsiTheme="minorEastAsia" w:eastAsiaTheme="minorEastAsia" w:cstheme="minorEastAsia"/>
                <w:snapToGrid w:val="0"/>
                <w:color w:val="000000"/>
                <w:spacing w:val="-3"/>
                <w:kern w:val="0"/>
                <w:sz w:val="18"/>
                <w:szCs w:val="18"/>
                <w:lang w:val="en-US" w:eastAsia="zh-CN" w:bidi="ar-SA"/>
              </w:rPr>
              <w:t>20米</w:t>
            </w:r>
            <w:r>
              <w:rPr>
                <w:rFonts w:hint="eastAsia" w:asciiTheme="minorEastAsia" w:hAnsiTheme="minorEastAsia" w:eastAsiaTheme="minorEastAsia" w:cstheme="minorEastAsia"/>
                <w:snapToGrid w:val="0"/>
                <w:color w:val="000000"/>
                <w:spacing w:val="-3"/>
                <w:kern w:val="0"/>
                <w:sz w:val="18"/>
                <w:szCs w:val="18"/>
                <w:lang w:val="en-US" w:eastAsia="en-US" w:bidi="ar-SA"/>
              </w:rPr>
              <w:t xml:space="preserve"> </w:t>
            </w:r>
            <w:r>
              <w:rPr>
                <w:rFonts w:hint="eastAsia" w:asciiTheme="minorEastAsia" w:hAnsiTheme="minorEastAsia" w:eastAsiaTheme="minorEastAsia" w:cstheme="minorEastAsia"/>
                <w:snapToGrid w:val="0"/>
                <w:color w:val="000000"/>
                <w:spacing w:val="-3"/>
                <w:kern w:val="0"/>
                <w:sz w:val="18"/>
                <w:szCs w:val="18"/>
                <w:lang w:val="en-US" w:eastAsia="zh-CN" w:bidi="ar-SA"/>
              </w:rPr>
              <w:t>，若该区域内</w:t>
            </w:r>
            <w:r>
              <w:rPr>
                <w:rFonts w:hint="eastAsia" w:asciiTheme="minorEastAsia" w:hAnsiTheme="minorEastAsia" w:eastAsiaTheme="minorEastAsia" w:cstheme="minorEastAsia"/>
                <w:snapToGrid w:val="0"/>
                <w:color w:val="000000"/>
                <w:spacing w:val="-3"/>
                <w:kern w:val="0"/>
                <w:sz w:val="18"/>
                <w:szCs w:val="18"/>
                <w:lang w:val="en-US" w:eastAsia="en-US" w:bidi="ar-SA"/>
              </w:rPr>
              <w:t>固定商铺数量</w:t>
            </w:r>
            <w:r>
              <w:rPr>
                <w:rFonts w:hint="eastAsia" w:asciiTheme="minorEastAsia" w:hAnsiTheme="minorEastAsia" w:eastAsiaTheme="minorEastAsia" w:cstheme="minorEastAsia"/>
                <w:snapToGrid w:val="0"/>
                <w:color w:val="000000"/>
                <w:spacing w:val="-3"/>
                <w:kern w:val="0"/>
                <w:sz w:val="18"/>
                <w:szCs w:val="18"/>
                <w:lang w:val="en-US" w:eastAsia="zh-CN" w:bidi="ar-SA"/>
              </w:rPr>
              <w:t>不足20户，且无零售点的，可设置1个零售点</w:t>
            </w:r>
            <w:r>
              <w:rPr>
                <w:rFonts w:hint="eastAsia" w:asciiTheme="minorEastAsia" w:hAnsiTheme="minorEastAsia" w:eastAsiaTheme="minorEastAsia" w:cstheme="minorEastAsia"/>
                <w:snapToGrid w:val="0"/>
                <w:color w:val="000000"/>
                <w:spacing w:val="-3"/>
                <w:kern w:val="0"/>
                <w:sz w:val="18"/>
                <w:szCs w:val="18"/>
                <w:lang w:val="en-US" w:eastAsia="zh-Hans" w:bidi="ar-SA"/>
              </w:rPr>
              <w:t>（</w:t>
            </w:r>
            <w:r>
              <w:rPr>
                <w:rFonts w:hint="eastAsia" w:asciiTheme="minorEastAsia" w:hAnsiTheme="minorEastAsia" w:eastAsiaTheme="minorEastAsia" w:cstheme="minorEastAsia"/>
                <w:snapToGrid w:val="0"/>
                <w:color w:val="000000"/>
                <w:spacing w:val="-3"/>
                <w:kern w:val="0"/>
                <w:sz w:val="18"/>
                <w:szCs w:val="18"/>
                <w:lang w:val="en-US" w:eastAsia="en-US" w:bidi="ar-SA"/>
              </w:rPr>
              <w:t>内外相通的临街商铺需同时符合内外布局要求</w:t>
            </w:r>
            <w:r>
              <w:rPr>
                <w:rFonts w:hint="eastAsia" w:asciiTheme="minorEastAsia" w:hAnsiTheme="minorEastAsia" w:eastAsiaTheme="minorEastAsia" w:cstheme="minorEastAsia"/>
                <w:snapToGrid w:val="0"/>
                <w:color w:val="000000"/>
                <w:spacing w:val="-3"/>
                <w:kern w:val="0"/>
                <w:sz w:val="18"/>
                <w:szCs w:val="18"/>
                <w:lang w:val="en-US" w:eastAsia="zh-Hans" w:bidi="ar-SA"/>
              </w:rPr>
              <w:t>）</w:t>
            </w:r>
            <w:r>
              <w:rPr>
                <w:rFonts w:hint="eastAsia" w:asciiTheme="minorEastAsia" w:hAnsiTheme="minorEastAsia" w:eastAsiaTheme="minorEastAsia" w:cstheme="minorEastAsia"/>
                <w:snapToGrid w:val="0"/>
                <w:color w:val="000000"/>
                <w:spacing w:val="-3"/>
                <w:kern w:val="0"/>
                <w:sz w:val="18"/>
                <w:szCs w:val="18"/>
                <w:lang w:val="en-US" w:eastAsia="zh-CN" w:bidi="ar-SA"/>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336" w:lineRule="auto"/>
              <w:textAlignment w:val="baseline"/>
              <w:rPr>
                <w:rFonts w:hint="eastAsia" w:asciiTheme="minorEastAsia" w:hAnsiTheme="minorEastAsia" w:eastAsiaTheme="minorEastAsia" w:cstheme="minorEastAsia"/>
                <w:snapToGrid w:val="0"/>
                <w:color w:val="000000"/>
                <w:spacing w:val="-3"/>
                <w:kern w:val="0"/>
                <w:sz w:val="18"/>
                <w:szCs w:val="18"/>
                <w:lang w:val="en-US" w:eastAsia="zh-CN" w:bidi="ar-SA"/>
              </w:rPr>
            </w:pPr>
            <w:r>
              <w:rPr>
                <w:rFonts w:hint="eastAsia" w:asciiTheme="minorEastAsia" w:hAnsiTheme="minorEastAsia" w:eastAsiaTheme="minorEastAsia" w:cstheme="minorEastAsia"/>
                <w:snapToGrid w:val="0"/>
                <w:color w:val="000000"/>
                <w:spacing w:val="-3"/>
                <w:kern w:val="0"/>
                <w:sz w:val="18"/>
                <w:szCs w:val="18"/>
                <w:lang w:val="en-US" w:eastAsia="zh-CN" w:bidi="ar-SA"/>
              </w:rPr>
              <w:t>3.封闭式</w:t>
            </w:r>
            <w:r>
              <w:rPr>
                <w:rFonts w:hint="eastAsia" w:asciiTheme="minorEastAsia" w:hAnsiTheme="minorEastAsia" w:eastAsiaTheme="minorEastAsia" w:cstheme="minorEastAsia"/>
                <w:snapToGrid w:val="0"/>
                <w:color w:val="000000"/>
                <w:spacing w:val="-3"/>
                <w:kern w:val="0"/>
                <w:sz w:val="18"/>
                <w:szCs w:val="18"/>
                <w:lang w:val="en-US" w:eastAsia="en-US" w:bidi="ar-SA"/>
              </w:rPr>
              <w:t>居民住宅小区</w:t>
            </w:r>
            <w:r>
              <w:rPr>
                <w:rFonts w:hint="eastAsia" w:asciiTheme="minorEastAsia" w:hAnsiTheme="minorEastAsia" w:eastAsiaTheme="minorEastAsia" w:cstheme="minorEastAsia"/>
                <w:snapToGrid w:val="0"/>
                <w:color w:val="000000"/>
                <w:spacing w:val="-3"/>
                <w:kern w:val="0"/>
                <w:sz w:val="18"/>
                <w:szCs w:val="18"/>
                <w:lang w:val="en-US" w:eastAsia="zh-CN" w:bidi="ar-SA"/>
              </w:rPr>
              <w:t>内部</w:t>
            </w:r>
            <w:r>
              <w:rPr>
                <w:rFonts w:hint="eastAsia" w:asciiTheme="minorEastAsia" w:hAnsiTheme="minorEastAsia" w:eastAsiaTheme="minorEastAsia" w:cstheme="minorEastAsia"/>
                <w:snapToGrid w:val="0"/>
                <w:color w:val="000000"/>
                <w:spacing w:val="-3"/>
                <w:kern w:val="0"/>
                <w:sz w:val="18"/>
                <w:szCs w:val="18"/>
                <w:lang w:val="en-US" w:eastAsia="en-US" w:bidi="ar-SA"/>
              </w:rPr>
              <w:t>住户</w:t>
            </w:r>
            <w:r>
              <w:rPr>
                <w:rFonts w:hint="eastAsia" w:asciiTheme="minorEastAsia" w:hAnsiTheme="minorEastAsia" w:eastAsiaTheme="minorEastAsia" w:cstheme="minorEastAsia"/>
                <w:snapToGrid w:val="0"/>
                <w:color w:val="000000"/>
                <w:spacing w:val="-3"/>
                <w:kern w:val="0"/>
                <w:sz w:val="18"/>
                <w:szCs w:val="18"/>
                <w:lang w:val="en-US" w:eastAsia="zh-CN" w:bidi="ar-SA"/>
              </w:rPr>
              <w:t>达到100</w:t>
            </w:r>
            <w:r>
              <w:rPr>
                <w:rFonts w:hint="eastAsia" w:asciiTheme="minorEastAsia" w:hAnsiTheme="minorEastAsia" w:eastAsiaTheme="minorEastAsia" w:cstheme="minorEastAsia"/>
                <w:snapToGrid w:val="0"/>
                <w:color w:val="000000"/>
                <w:spacing w:val="-3"/>
                <w:kern w:val="0"/>
                <w:sz w:val="18"/>
                <w:szCs w:val="18"/>
                <w:lang w:val="en-US" w:eastAsia="en-US" w:bidi="ar-SA"/>
              </w:rPr>
              <w:t>户的，可设置1个零售点，每增加200户</w:t>
            </w:r>
            <w:r>
              <w:rPr>
                <w:rFonts w:hint="eastAsia" w:asciiTheme="minorEastAsia" w:hAnsiTheme="minorEastAsia" w:eastAsiaTheme="minorEastAsia" w:cstheme="minorEastAsia"/>
                <w:snapToGrid w:val="0"/>
                <w:color w:val="000000"/>
                <w:spacing w:val="-3"/>
                <w:kern w:val="0"/>
                <w:sz w:val="18"/>
                <w:szCs w:val="18"/>
                <w:lang w:val="en-US" w:eastAsia="zh-CN" w:bidi="ar-SA"/>
              </w:rPr>
              <w:t>可</w:t>
            </w:r>
            <w:r>
              <w:rPr>
                <w:rFonts w:hint="eastAsia" w:asciiTheme="minorEastAsia" w:hAnsiTheme="minorEastAsia" w:eastAsiaTheme="minorEastAsia" w:cstheme="minorEastAsia"/>
                <w:snapToGrid w:val="0"/>
                <w:color w:val="000000"/>
                <w:spacing w:val="-3"/>
                <w:kern w:val="0"/>
                <w:sz w:val="18"/>
                <w:szCs w:val="18"/>
                <w:lang w:val="en-US" w:eastAsia="en-US" w:bidi="ar-SA"/>
              </w:rPr>
              <w:t>增设1个零售点，零售点间距不低于</w:t>
            </w:r>
            <w:r>
              <w:rPr>
                <w:rFonts w:hint="eastAsia" w:asciiTheme="minorEastAsia" w:hAnsiTheme="minorEastAsia" w:eastAsiaTheme="minorEastAsia" w:cstheme="minorEastAsia"/>
                <w:snapToGrid w:val="0"/>
                <w:color w:val="000000"/>
                <w:spacing w:val="-3"/>
                <w:kern w:val="0"/>
                <w:sz w:val="18"/>
                <w:szCs w:val="18"/>
                <w:lang w:val="en-US" w:eastAsia="zh-CN" w:bidi="ar-SA"/>
              </w:rPr>
              <w:t>50</w:t>
            </w:r>
            <w:r>
              <w:rPr>
                <w:rFonts w:hint="eastAsia" w:asciiTheme="minorEastAsia" w:hAnsiTheme="minorEastAsia" w:eastAsiaTheme="minorEastAsia" w:cstheme="minorEastAsia"/>
                <w:snapToGrid w:val="0"/>
                <w:color w:val="000000"/>
                <w:spacing w:val="-3"/>
                <w:kern w:val="0"/>
                <w:sz w:val="18"/>
                <w:szCs w:val="18"/>
                <w:lang w:val="en-US" w:eastAsia="en-US" w:bidi="ar-SA"/>
              </w:rPr>
              <w:t>米</w:t>
            </w:r>
            <w:r>
              <w:rPr>
                <w:rFonts w:hint="eastAsia" w:asciiTheme="minorEastAsia" w:hAnsiTheme="minorEastAsia" w:eastAsiaTheme="minorEastAsia" w:cstheme="minorEastAsia"/>
                <w:snapToGrid w:val="0"/>
                <w:color w:val="000000"/>
                <w:spacing w:val="-3"/>
                <w:kern w:val="0"/>
                <w:sz w:val="18"/>
                <w:szCs w:val="18"/>
                <w:lang w:val="en-US" w:eastAsia="zh-CN" w:bidi="ar-SA"/>
              </w:rPr>
              <w:t>，</w:t>
            </w:r>
            <w:r>
              <w:rPr>
                <w:rFonts w:hint="eastAsia" w:asciiTheme="minorEastAsia" w:hAnsiTheme="minorEastAsia" w:eastAsiaTheme="minorEastAsia" w:cstheme="minorEastAsia"/>
                <w:snapToGrid w:val="0"/>
                <w:color w:val="000000"/>
                <w:spacing w:val="-3"/>
                <w:kern w:val="0"/>
                <w:sz w:val="18"/>
                <w:szCs w:val="18"/>
                <w:lang w:val="en-US" w:eastAsia="en-US" w:bidi="ar-SA"/>
              </w:rPr>
              <w:t>最多可设置3个零售点，</w:t>
            </w:r>
            <w:r>
              <w:rPr>
                <w:rFonts w:hint="eastAsia" w:asciiTheme="minorEastAsia" w:hAnsiTheme="minorEastAsia" w:eastAsiaTheme="minorEastAsia" w:cstheme="minorEastAsia"/>
                <w:snapToGrid w:val="0"/>
                <w:color w:val="000000"/>
                <w:spacing w:val="-3"/>
                <w:kern w:val="0"/>
                <w:sz w:val="18"/>
                <w:szCs w:val="18"/>
                <w:lang w:val="en-US" w:eastAsia="zh-CN" w:bidi="ar-SA"/>
              </w:rPr>
              <w:t>且经营场所必须为平层开放式门店</w:t>
            </w:r>
            <w:r>
              <w:rPr>
                <w:rFonts w:hint="eastAsia" w:asciiTheme="minorEastAsia" w:hAnsiTheme="minorEastAsia" w:eastAsiaTheme="minorEastAsia" w:cstheme="minorEastAsia"/>
                <w:snapToGrid w:val="0"/>
                <w:color w:val="000000"/>
                <w:spacing w:val="-3"/>
                <w:kern w:val="0"/>
                <w:sz w:val="18"/>
                <w:szCs w:val="18"/>
                <w:lang w:val="en-US" w:eastAsia="en-US" w:bidi="ar-SA"/>
              </w:rPr>
              <w:t>（内外相通的临街商铺需同时符合内外布局要求）</w:t>
            </w:r>
            <w:r>
              <w:rPr>
                <w:rFonts w:hint="eastAsia" w:asciiTheme="minorEastAsia" w:hAnsiTheme="minorEastAsia" w:eastAsiaTheme="minorEastAsia" w:cstheme="minorEastAsia"/>
                <w:snapToGrid w:val="0"/>
                <w:color w:val="000000"/>
                <w:spacing w:val="-3"/>
                <w:kern w:val="0"/>
                <w:sz w:val="18"/>
                <w:szCs w:val="18"/>
                <w:lang w:val="en-US" w:eastAsia="zh-CN" w:bidi="ar-SA"/>
              </w:rPr>
              <w:t>。</w:t>
            </w:r>
          </w:p>
          <w:p>
            <w:pPr>
              <w:pStyle w:val="2"/>
              <w:numPr>
                <w:ilvl w:val="0"/>
                <w:numId w:val="0"/>
              </w:numPr>
              <w:rPr>
                <w:rFonts w:hint="default" w:asciiTheme="minorEastAsia" w:hAnsiTheme="minorEastAsia" w:eastAsiaTheme="minorEastAsia" w:cstheme="minorEastAsia"/>
                <w:snapToGrid w:val="0"/>
                <w:color w:val="000000"/>
                <w:spacing w:val="-3"/>
                <w:kern w:val="0"/>
                <w:sz w:val="18"/>
                <w:szCs w:val="18"/>
                <w:lang w:val="en-US" w:eastAsia="zh-CN" w:bidi="ar-SA"/>
              </w:rPr>
            </w:pPr>
          </w:p>
        </w:tc>
        <w:tc>
          <w:tcPr>
            <w:tcW w:w="94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default" w:ascii="宋体" w:hAnsi="宋体" w:eastAsia="宋体" w:cs="宋体"/>
                <w:snapToGrid w:val="0"/>
                <w:color w:val="000000"/>
                <w:kern w:val="0"/>
                <w:sz w:val="22"/>
                <w:szCs w:val="22"/>
                <w:lang w:val="en-US" w:eastAsia="zh-CN" w:bidi="ar-SA"/>
              </w:rPr>
            </w:pPr>
            <w:r>
              <w:rPr>
                <w:rFonts w:hint="eastAsia" w:ascii="宋体" w:hAnsi="宋体" w:eastAsia="宋体" w:cs="宋体"/>
                <w:snapToGrid w:val="0"/>
                <w:color w:val="000000"/>
                <w:kern w:val="0"/>
                <w:sz w:val="22"/>
                <w:szCs w:val="22"/>
                <w:lang w:val="en-US" w:eastAsia="zh-CN" w:bidi="ar-SA"/>
              </w:rPr>
              <w:t>1516</w:t>
            </w:r>
          </w:p>
        </w:tc>
        <w:tc>
          <w:tcPr>
            <w:tcW w:w="7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auto"/>
                <w:sz w:val="22"/>
                <w:szCs w:val="22"/>
                <w:lang w:eastAsia="zh-CN"/>
              </w:rPr>
            </w:pPr>
          </w:p>
        </w:tc>
      </w:tr>
      <w:tr>
        <w:tblPrEx>
          <w:tblCellMar>
            <w:top w:w="0" w:type="dxa"/>
            <w:left w:w="108" w:type="dxa"/>
            <w:bottom w:w="0" w:type="dxa"/>
            <w:right w:w="108" w:type="dxa"/>
          </w:tblCellMar>
        </w:tblPrEx>
        <w:trPr>
          <w:trHeight w:val="1147"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lang w:eastAsia="zh-CN"/>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val="en-US" w:eastAsia="zh-Hans" w:bidi="ar"/>
              </w:rPr>
              <w:t>桂山街道</w:t>
            </w:r>
            <w:r>
              <w:rPr>
                <w:rFonts w:hint="default" w:ascii="宋体" w:hAnsi="宋体" w:eastAsia="宋体" w:cs="宋体"/>
                <w:color w:val="auto"/>
                <w:sz w:val="18"/>
                <w:szCs w:val="18"/>
                <w:lang w:eastAsia="zh-Hans" w:bidi="ar"/>
              </w:rPr>
              <w:t>-2</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sz w:val="18"/>
                <w:szCs w:val="18"/>
                <w:lang w:val="en-US" w:eastAsia="zh-CN"/>
              </w:rPr>
              <w:t>桂</w:t>
            </w:r>
            <w:r>
              <w:rPr>
                <w:rFonts w:hint="eastAsia" w:ascii="宋体" w:hAnsi="宋体" w:eastAsia="宋体" w:cs="宋体"/>
                <w:sz w:val="18"/>
                <w:szCs w:val="18"/>
                <w:lang w:val="en-US" w:eastAsia="zh-Hans"/>
              </w:rPr>
              <w:t>园</w:t>
            </w:r>
            <w:r>
              <w:rPr>
                <w:rFonts w:hint="eastAsia" w:ascii="宋体" w:hAnsi="宋体" w:eastAsia="宋体" w:cs="宋体"/>
                <w:sz w:val="18"/>
                <w:szCs w:val="18"/>
                <w:lang w:val="en-US" w:eastAsia="zh-CN"/>
              </w:rPr>
              <w:t>路</w:t>
            </w:r>
            <w:r>
              <w:rPr>
                <w:rFonts w:hint="eastAsia" w:ascii="宋体" w:hAnsi="宋体" w:eastAsia="宋体" w:cs="宋体"/>
                <w:sz w:val="18"/>
                <w:szCs w:val="18"/>
                <w:lang w:eastAsia="zh-CN"/>
              </w:rPr>
              <w:t>至育新路至平山路</w:t>
            </w:r>
            <w:r>
              <w:rPr>
                <w:rFonts w:hint="eastAsia" w:ascii="宋体" w:hAnsi="宋体" w:eastAsia="宋体" w:cs="宋体"/>
                <w:sz w:val="18"/>
                <w:szCs w:val="18"/>
                <w:lang w:val="en-US" w:eastAsia="zh-CN"/>
              </w:rPr>
              <w:t>至</w:t>
            </w:r>
            <w:r>
              <w:rPr>
                <w:rFonts w:hint="eastAsia" w:ascii="宋体" w:hAnsi="宋体" w:eastAsia="宋体" w:cs="宋体"/>
                <w:sz w:val="18"/>
                <w:szCs w:val="18"/>
                <w:lang w:val="en-US" w:eastAsia="zh-Hans"/>
              </w:rPr>
              <w:t>文化路以</w:t>
            </w:r>
            <w:r>
              <w:rPr>
                <w:rFonts w:hint="eastAsia" w:ascii="宋体" w:hAnsi="宋体" w:eastAsia="宋体" w:cs="宋体"/>
                <w:sz w:val="18"/>
                <w:szCs w:val="18"/>
                <w:lang w:val="en-US" w:eastAsia="zh-CN"/>
              </w:rPr>
              <w:t>东</w:t>
            </w:r>
            <w:r>
              <w:rPr>
                <w:rFonts w:hint="eastAsia" w:ascii="宋体" w:hAnsi="宋体" w:eastAsia="宋体" w:cs="宋体"/>
                <w:sz w:val="18"/>
                <w:szCs w:val="18"/>
                <w:lang w:val="en-US" w:eastAsia="zh-Hans"/>
              </w:rPr>
              <w:t>片区</w:t>
            </w:r>
            <w:r>
              <w:rPr>
                <w:rFonts w:hint="eastAsia" w:ascii="宋体" w:hAnsi="宋体" w:eastAsia="宋体" w:cs="宋体"/>
                <w:sz w:val="18"/>
                <w:szCs w:val="18"/>
                <w:lang w:val="en-US" w:eastAsia="zh-CN"/>
              </w:rPr>
              <w:t>（含上述路段）</w:t>
            </w:r>
            <w:r>
              <w:rPr>
                <w:rFonts w:hint="eastAsia" w:ascii="宋体" w:hAnsi="宋体" w:eastAsia="宋体" w:cs="宋体"/>
                <w:sz w:val="18"/>
                <w:szCs w:val="18"/>
                <w:lang w:eastAsia="zh-CN"/>
              </w:rPr>
              <w:t>至</w:t>
            </w:r>
            <w:r>
              <w:rPr>
                <w:rFonts w:hint="eastAsia" w:ascii="宋体" w:hAnsi="宋体" w:eastAsia="宋体" w:cs="宋体"/>
                <w:sz w:val="18"/>
                <w:szCs w:val="18"/>
                <w:lang w:val="en-US" w:eastAsia="zh-Hans"/>
              </w:rPr>
              <w:t>河滨路</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198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189</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9</w:t>
            </w:r>
          </w:p>
        </w:tc>
        <w:tc>
          <w:tcPr>
            <w:tcW w:w="2985" w:type="dxa"/>
            <w:vMerge w:val="continue"/>
            <w:tcBorders>
              <w:left w:val="single" w:color="auto"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r>
      <w:tr>
        <w:tblPrEx>
          <w:tblCellMar>
            <w:top w:w="0" w:type="dxa"/>
            <w:left w:w="108" w:type="dxa"/>
            <w:bottom w:w="0" w:type="dxa"/>
            <w:right w:w="108" w:type="dxa"/>
          </w:tblCellMar>
        </w:tblPrEx>
        <w:trPr>
          <w:trHeight w:val="1147"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auto"/>
                <w:sz w:val="18"/>
                <w:szCs w:val="18"/>
                <w:lang w:eastAsia="zh-Hans"/>
              </w:rPr>
            </w:pPr>
            <w:r>
              <w:rPr>
                <w:rFonts w:hint="eastAsia" w:ascii="宋体" w:hAnsi="宋体" w:eastAsia="宋体" w:cs="宋体"/>
                <w:color w:val="auto"/>
                <w:sz w:val="18"/>
                <w:szCs w:val="18"/>
                <w:lang w:val="en-US" w:eastAsia="zh-Hans" w:bidi="ar"/>
              </w:rPr>
              <w:t>古城街道</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以</w:t>
            </w:r>
            <w:r>
              <w:rPr>
                <w:rFonts w:hint="eastAsia" w:ascii="宋体" w:hAnsi="宋体" w:eastAsia="宋体" w:cs="宋体"/>
                <w:color w:val="auto"/>
                <w:sz w:val="18"/>
                <w:szCs w:val="18"/>
                <w:lang w:val="en-US" w:eastAsia="zh-Hans" w:bidi="ar"/>
              </w:rPr>
              <w:t>古城街道</w:t>
            </w:r>
            <w:r>
              <w:rPr>
                <w:rFonts w:hint="eastAsia" w:ascii="宋体" w:hAnsi="宋体" w:eastAsia="宋体" w:cs="宋体"/>
                <w:color w:val="auto"/>
                <w:sz w:val="18"/>
                <w:szCs w:val="18"/>
                <w:lang w:val="en-US" w:eastAsia="zh-Hans"/>
              </w:rPr>
              <w:t>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181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173</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8</w:t>
            </w:r>
          </w:p>
        </w:tc>
        <w:tc>
          <w:tcPr>
            <w:tcW w:w="2985" w:type="dxa"/>
            <w:vMerge w:val="continue"/>
            <w:tcBorders>
              <w:left w:val="single" w:color="auto" w:sz="4" w:space="0"/>
              <w:bottom w:val="single" w:color="auto"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r>
      <w:tr>
        <w:tblPrEx>
          <w:tblCellMar>
            <w:top w:w="0" w:type="dxa"/>
            <w:left w:w="108" w:type="dxa"/>
            <w:bottom w:w="0" w:type="dxa"/>
            <w:right w:w="108" w:type="dxa"/>
          </w:tblCellMar>
        </w:tblPrEx>
        <w:trPr>
          <w:trHeight w:val="1090"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auto"/>
                <w:sz w:val="18"/>
                <w:szCs w:val="18"/>
                <w:lang w:eastAsia="zh-Hans"/>
              </w:rPr>
            </w:pPr>
            <w:r>
              <w:rPr>
                <w:rFonts w:hint="eastAsia" w:ascii="宋体" w:hAnsi="宋体" w:eastAsia="宋体" w:cs="宋体"/>
                <w:color w:val="auto"/>
                <w:sz w:val="18"/>
                <w:szCs w:val="18"/>
                <w:lang w:val="en-US" w:eastAsia="zh-Hans"/>
              </w:rPr>
              <w:t>扬武镇</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以扬武镇行政区划为界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16</w:t>
            </w:r>
            <w:r>
              <w:rPr>
                <w:rFonts w:hint="default" w:ascii="宋体" w:hAnsi="宋体" w:eastAsia="宋体" w:cs="宋体"/>
                <w:color w:val="auto"/>
                <w:sz w:val="18"/>
                <w:szCs w:val="18"/>
                <w:lang w:eastAsia="zh-CN"/>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140</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21</w:t>
            </w:r>
          </w:p>
        </w:tc>
        <w:tc>
          <w:tcPr>
            <w:tcW w:w="29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2" w:lineRule="auto"/>
              <w:textAlignment w:val="baseline"/>
              <w:rPr>
                <w:rFonts w:ascii="宋体" w:hAnsi="宋体" w:eastAsia="宋体" w:cs="宋体"/>
                <w:color w:val="auto"/>
                <w:sz w:val="22"/>
                <w:szCs w:val="22"/>
              </w:rPr>
            </w:pPr>
            <w:r>
              <w:rPr>
                <w:rFonts w:hint="eastAsia" w:asciiTheme="minorEastAsia" w:hAnsiTheme="minorEastAsia" w:eastAsiaTheme="minorEastAsia" w:cstheme="minorEastAsia"/>
                <w:sz w:val="18"/>
                <w:szCs w:val="18"/>
              </w:rPr>
              <w:t>乡镇所在地</w:t>
            </w:r>
            <w:r>
              <w:rPr>
                <w:rFonts w:hint="eastAsia" w:asciiTheme="minorEastAsia" w:hAnsiTheme="minorEastAsia" w:eastAsiaTheme="minorEastAsia" w:cstheme="minorEastAsia"/>
                <w:sz w:val="18"/>
                <w:szCs w:val="18"/>
                <w:lang w:val="en-US" w:eastAsia="zh-Hans"/>
              </w:rPr>
              <w:t>街道</w:t>
            </w:r>
            <w:r>
              <w:rPr>
                <w:rFonts w:hint="eastAsia" w:asciiTheme="minorEastAsia" w:hAnsiTheme="minorEastAsia" w:eastAsiaTheme="minorEastAsia" w:cstheme="minorEastAsia"/>
                <w:sz w:val="18"/>
                <w:szCs w:val="18"/>
              </w:rPr>
              <w:t>零售点间隔距离</w:t>
            </w:r>
            <w:r>
              <w:rPr>
                <w:rFonts w:hint="eastAsia" w:asciiTheme="minorEastAsia" w:hAnsiTheme="minorEastAsia" w:eastAsiaTheme="minorEastAsia" w:cstheme="minorEastAsia"/>
                <w:sz w:val="18"/>
                <w:szCs w:val="18"/>
                <w:lang w:val="en-US" w:eastAsia="zh-CN"/>
              </w:rPr>
              <w:t>不低于</w:t>
            </w:r>
            <w:r>
              <w:rPr>
                <w:rFonts w:hint="eastAsia" w:asciiTheme="minorEastAsia" w:hAnsiTheme="minorEastAsia" w:eastAsiaTheme="minorEastAsia" w:cstheme="minorEastAsia"/>
                <w:sz w:val="18"/>
                <w:szCs w:val="18"/>
              </w:rPr>
              <w:t>30米</w:t>
            </w:r>
            <w:r>
              <w:rPr>
                <w:rFonts w:hint="eastAsia" w:asciiTheme="minorEastAsia" w:hAnsiTheme="minorEastAsia" w:eastAsiaTheme="minorEastAsia" w:cstheme="minorEastAsia"/>
                <w:sz w:val="18"/>
                <w:szCs w:val="18"/>
                <w:lang w:eastAsia="zh-CN"/>
              </w:rPr>
              <w:t>（含大开门社区街道）。</w:t>
            </w:r>
          </w:p>
        </w:tc>
        <w:tc>
          <w:tcPr>
            <w:tcW w:w="438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r>
      <w:tr>
        <w:tblPrEx>
          <w:tblCellMar>
            <w:top w:w="0" w:type="dxa"/>
            <w:left w:w="108" w:type="dxa"/>
            <w:bottom w:w="0" w:type="dxa"/>
            <w:right w:w="108" w:type="dxa"/>
          </w:tblCellMar>
        </w:tblPrEx>
        <w:trPr>
          <w:trHeight w:val="767"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354" w:type="dxa"/>
            <w:tcBorders>
              <w:top w:val="single" w:color="000000" w:sz="4" w:space="0"/>
              <w:left w:val="single" w:color="000000" w:sz="4" w:space="0"/>
              <w:right w:val="single" w:color="000000" w:sz="4" w:space="0"/>
            </w:tcBorders>
            <w:shd w:val="clear" w:color="auto" w:fill="auto"/>
            <w:vAlign w:val="center"/>
          </w:tcPr>
          <w:p>
            <w:pPr>
              <w:jc w:val="center"/>
              <w:rPr>
                <w:rFonts w:hint="eastAsia" w:eastAsia="Arial"/>
                <w:sz w:val="18"/>
                <w:szCs w:val="18"/>
                <w:lang w:val="en-US" w:eastAsia="zh-Hans"/>
              </w:rPr>
            </w:pPr>
            <w:r>
              <w:rPr>
                <w:rFonts w:hint="eastAsia" w:ascii="宋体" w:hAnsi="宋体" w:eastAsia="宋体" w:cs="宋体"/>
                <w:color w:val="auto"/>
                <w:sz w:val="18"/>
                <w:szCs w:val="18"/>
                <w:lang w:val="en-US" w:eastAsia="zh-Hans"/>
              </w:rPr>
              <w:t>戛洒镇</w:t>
            </w:r>
          </w:p>
        </w:tc>
        <w:tc>
          <w:tcPr>
            <w:tcW w:w="2131" w:type="dxa"/>
            <w:tcBorders>
              <w:top w:val="single" w:color="000000" w:sz="4" w:space="0"/>
              <w:left w:val="single" w:color="000000" w:sz="4" w:space="0"/>
              <w:right w:val="single" w:color="000000" w:sz="4" w:space="0"/>
            </w:tcBorders>
            <w:shd w:val="clear" w:color="auto" w:fill="auto"/>
            <w:vAlign w:val="center"/>
          </w:tcPr>
          <w:p>
            <w:pPr>
              <w:tabs>
                <w:tab w:val="left" w:pos="395"/>
              </w:tabs>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以戛洒镇行政区划为界</w:t>
            </w:r>
          </w:p>
        </w:tc>
        <w:tc>
          <w:tcPr>
            <w:tcW w:w="735" w:type="dxa"/>
            <w:tcBorders>
              <w:top w:val="single" w:color="000000" w:sz="4" w:space="0"/>
              <w:left w:val="single" w:color="000000" w:sz="4" w:space="0"/>
              <w:right w:val="single" w:color="000000" w:sz="4" w:space="0"/>
            </w:tcBorders>
            <w:shd w:val="clear" w:color="auto" w:fill="auto"/>
            <w:vAlign w:val="center"/>
          </w:tcPr>
          <w:p>
            <w:pPr>
              <w:tabs>
                <w:tab w:val="left" w:pos="395"/>
              </w:tabs>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291</w:t>
            </w:r>
          </w:p>
        </w:tc>
        <w:tc>
          <w:tcPr>
            <w:tcW w:w="870" w:type="dxa"/>
            <w:tcBorders>
              <w:top w:val="single" w:color="000000" w:sz="4" w:space="0"/>
              <w:left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CN"/>
              </w:rPr>
              <w:t>300</w:t>
            </w:r>
          </w:p>
        </w:tc>
        <w:tc>
          <w:tcPr>
            <w:tcW w:w="630" w:type="dxa"/>
            <w:tcBorders>
              <w:top w:val="single" w:color="000000" w:sz="4" w:space="0"/>
              <w:left w:val="single" w:color="000000" w:sz="4" w:space="0"/>
              <w:bottom w:val="single" w:color="auto" w:sz="4" w:space="0"/>
              <w:right w:val="single" w:color="auto" w:sz="4" w:space="0"/>
            </w:tcBorders>
            <w:shd w:val="clear" w:color="auto" w:fill="auto"/>
            <w:vAlign w:val="center"/>
          </w:tcPr>
          <w:p>
            <w:pPr>
              <w:tabs>
                <w:tab w:val="left" w:pos="395"/>
              </w:tabs>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w:t>
            </w:r>
          </w:p>
        </w:tc>
        <w:tc>
          <w:tcPr>
            <w:tcW w:w="2985" w:type="dxa"/>
            <w:vMerge w:val="restart"/>
            <w:tcBorders>
              <w:top w:val="single" w:color="auto" w:sz="4" w:space="0"/>
              <w:left w:val="single" w:color="auto" w:sz="4" w:space="0"/>
              <w:right w:val="single" w:color="auto" w:sz="4" w:space="0"/>
            </w:tcBorders>
            <w:shd w:val="clear" w:color="auto" w:fill="auto"/>
            <w:vAlign w:val="center"/>
          </w:tcPr>
          <w:p>
            <w:pPr>
              <w:jc w:val="both"/>
              <w:rPr>
                <w:rFonts w:ascii="宋体" w:hAnsi="宋体" w:eastAsia="宋体" w:cs="宋体"/>
                <w:color w:val="auto"/>
                <w:sz w:val="22"/>
                <w:szCs w:val="22"/>
              </w:rPr>
            </w:pPr>
            <w:r>
              <w:rPr>
                <w:rFonts w:hint="eastAsia" w:asciiTheme="minorEastAsia" w:hAnsiTheme="minorEastAsia" w:eastAsiaTheme="minorEastAsia" w:cstheme="minorEastAsia"/>
                <w:sz w:val="18"/>
                <w:szCs w:val="18"/>
              </w:rPr>
              <w:t>乡镇所在地</w:t>
            </w:r>
            <w:r>
              <w:rPr>
                <w:rFonts w:hint="eastAsia" w:asciiTheme="minorEastAsia" w:hAnsiTheme="minorEastAsia" w:eastAsiaTheme="minorEastAsia" w:cstheme="minorEastAsia"/>
                <w:sz w:val="18"/>
                <w:szCs w:val="18"/>
                <w:lang w:val="en-US" w:eastAsia="zh-Hans"/>
              </w:rPr>
              <w:t>街道</w:t>
            </w:r>
            <w:r>
              <w:rPr>
                <w:rFonts w:hint="eastAsia" w:asciiTheme="minorEastAsia" w:hAnsiTheme="minorEastAsia" w:eastAsiaTheme="minorEastAsia" w:cstheme="minorEastAsia"/>
                <w:sz w:val="18"/>
                <w:szCs w:val="18"/>
              </w:rPr>
              <w:t>零售点间隔距离</w:t>
            </w:r>
            <w:r>
              <w:rPr>
                <w:rFonts w:hint="eastAsia" w:asciiTheme="minorEastAsia" w:hAnsiTheme="minorEastAsia" w:eastAsiaTheme="minorEastAsia" w:cstheme="minorEastAsia"/>
                <w:sz w:val="18"/>
                <w:szCs w:val="18"/>
                <w:lang w:val="en-US" w:eastAsia="zh-CN"/>
              </w:rPr>
              <w:t>不低于</w:t>
            </w:r>
            <w:r>
              <w:rPr>
                <w:rFonts w:hint="eastAsia" w:asciiTheme="minorEastAsia" w:hAnsiTheme="minorEastAsia" w:eastAsiaTheme="minorEastAsia" w:cstheme="minorEastAsia"/>
                <w:sz w:val="18"/>
                <w:szCs w:val="18"/>
              </w:rPr>
              <w:t>30米</w:t>
            </w:r>
            <w:r>
              <w:rPr>
                <w:rFonts w:hint="eastAsia" w:asciiTheme="minorEastAsia" w:hAnsiTheme="minorEastAsia" w:eastAsiaTheme="minorEastAsia" w:cstheme="minorEastAsia"/>
                <w:sz w:val="18"/>
                <w:szCs w:val="18"/>
                <w:lang w:eastAsia="zh-CN"/>
              </w:rPr>
              <w:t>。</w:t>
            </w:r>
          </w:p>
          <w:p>
            <w:pPr>
              <w:jc w:val="center"/>
              <w:rPr>
                <w:rFonts w:hint="eastAsia" w:ascii="宋体" w:hAnsi="宋体" w:cs="宋体" w:eastAsiaTheme="minorEastAsia"/>
                <w:color w:val="auto"/>
                <w:sz w:val="22"/>
                <w:szCs w:val="22"/>
                <w:lang w:eastAsia="zh-CN"/>
              </w:rPr>
            </w:pPr>
          </w:p>
        </w:tc>
        <w:tc>
          <w:tcPr>
            <w:tcW w:w="438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r>
      <w:tr>
        <w:tblPrEx>
          <w:tblCellMar>
            <w:top w:w="0" w:type="dxa"/>
            <w:left w:w="108" w:type="dxa"/>
            <w:bottom w:w="0" w:type="dxa"/>
            <w:right w:w="108" w:type="dxa"/>
          </w:tblCellMar>
        </w:tblPrEx>
        <w:trPr>
          <w:trHeight w:val="675"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1354"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漠沙镇</w:t>
            </w:r>
          </w:p>
        </w:tc>
        <w:tc>
          <w:tcPr>
            <w:tcW w:w="2131"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以漠沙镇行政区划为界</w:t>
            </w:r>
          </w:p>
        </w:tc>
        <w:tc>
          <w:tcPr>
            <w:tcW w:w="735"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160</w:t>
            </w:r>
          </w:p>
        </w:tc>
        <w:tc>
          <w:tcPr>
            <w:tcW w:w="870"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181</w:t>
            </w:r>
          </w:p>
        </w:tc>
        <w:tc>
          <w:tcPr>
            <w:tcW w:w="630" w:type="dxa"/>
            <w:tcBorders>
              <w:top w:val="single" w:color="auto" w:sz="4" w:space="0"/>
              <w:left w:val="single" w:color="000000" w:sz="4" w:space="0"/>
              <w:bottom w:val="single" w:color="000000" w:sz="4" w:space="0"/>
              <w:right w:val="single" w:color="auto"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-21</w:t>
            </w:r>
          </w:p>
        </w:tc>
        <w:tc>
          <w:tcPr>
            <w:tcW w:w="2985" w:type="dxa"/>
            <w:vMerge w:val="continue"/>
            <w:tcBorders>
              <w:left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auto"/>
                <w:sz w:val="22"/>
                <w:szCs w:val="22"/>
              </w:rPr>
            </w:pPr>
          </w:p>
        </w:tc>
      </w:tr>
      <w:tr>
        <w:tblPrEx>
          <w:tblCellMar>
            <w:top w:w="0" w:type="dxa"/>
            <w:left w:w="108" w:type="dxa"/>
            <w:bottom w:w="0" w:type="dxa"/>
            <w:right w:w="108" w:type="dxa"/>
          </w:tblCellMar>
        </w:tblPrEx>
        <w:trPr>
          <w:trHeight w:val="693"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水塘镇</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以水塘镇行政区划为界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53</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w:t>
            </w:r>
          </w:p>
        </w:tc>
        <w:tc>
          <w:tcPr>
            <w:tcW w:w="2985" w:type="dxa"/>
            <w:vMerge w:val="continue"/>
            <w:tcBorders>
              <w:left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auto"/>
                <w:sz w:val="22"/>
                <w:szCs w:val="22"/>
              </w:rPr>
            </w:pPr>
          </w:p>
        </w:tc>
      </w:tr>
      <w:tr>
        <w:tblPrEx>
          <w:tblCellMar>
            <w:top w:w="0" w:type="dxa"/>
            <w:left w:w="108" w:type="dxa"/>
            <w:bottom w:w="0" w:type="dxa"/>
            <w:right w:w="108" w:type="dxa"/>
          </w:tblCellMar>
        </w:tblPrEx>
        <w:trPr>
          <w:trHeight w:val="717"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新化乡</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以新化乡行政区划为界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43</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w:t>
            </w:r>
          </w:p>
        </w:tc>
        <w:tc>
          <w:tcPr>
            <w:tcW w:w="2985" w:type="dxa"/>
            <w:vMerge w:val="continue"/>
            <w:tcBorders>
              <w:left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auto"/>
                <w:sz w:val="22"/>
                <w:szCs w:val="22"/>
              </w:rPr>
            </w:pPr>
          </w:p>
        </w:tc>
      </w:tr>
      <w:tr>
        <w:tblPrEx>
          <w:tblCellMar>
            <w:top w:w="0" w:type="dxa"/>
            <w:left w:w="108" w:type="dxa"/>
            <w:bottom w:w="0" w:type="dxa"/>
            <w:right w:w="108" w:type="dxa"/>
          </w:tblCellMar>
        </w:tblPrEx>
        <w:trPr>
          <w:trHeight w:val="742"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老厂乡</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以老厂乡行政区划为界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45</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11</w:t>
            </w:r>
          </w:p>
        </w:tc>
        <w:tc>
          <w:tcPr>
            <w:tcW w:w="2985" w:type="dxa"/>
            <w:vMerge w:val="continue"/>
            <w:tcBorders>
              <w:left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auto"/>
                <w:sz w:val="22"/>
                <w:szCs w:val="22"/>
              </w:rPr>
            </w:pPr>
          </w:p>
        </w:tc>
      </w:tr>
      <w:tr>
        <w:tblPrEx>
          <w:tblCellMar>
            <w:top w:w="0" w:type="dxa"/>
            <w:left w:w="108" w:type="dxa"/>
            <w:bottom w:w="0" w:type="dxa"/>
            <w:right w:w="108" w:type="dxa"/>
          </w:tblCellMar>
        </w:tblPrEx>
        <w:trPr>
          <w:trHeight w:val="716"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建兴乡</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以建兴乡行政区划为界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47</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11</w:t>
            </w:r>
          </w:p>
        </w:tc>
        <w:tc>
          <w:tcPr>
            <w:tcW w:w="2985" w:type="dxa"/>
            <w:vMerge w:val="continue"/>
            <w:tcBorders>
              <w:left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auto"/>
                <w:sz w:val="22"/>
                <w:szCs w:val="22"/>
              </w:rPr>
            </w:pPr>
          </w:p>
        </w:tc>
      </w:tr>
      <w:tr>
        <w:tblPrEx>
          <w:tblCellMar>
            <w:top w:w="0" w:type="dxa"/>
            <w:left w:w="108" w:type="dxa"/>
            <w:bottom w:w="0" w:type="dxa"/>
            <w:right w:w="108" w:type="dxa"/>
          </w:tblCellMar>
        </w:tblPrEx>
        <w:trPr>
          <w:trHeight w:val="699"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者竜乡</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以者竜乡行政区划为界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60</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w:t>
            </w:r>
          </w:p>
        </w:tc>
        <w:tc>
          <w:tcPr>
            <w:tcW w:w="2985" w:type="dxa"/>
            <w:vMerge w:val="continue"/>
            <w:tcBorders>
              <w:left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auto"/>
                <w:sz w:val="22"/>
                <w:szCs w:val="22"/>
              </w:rPr>
            </w:pPr>
          </w:p>
        </w:tc>
      </w:tr>
      <w:tr>
        <w:tblPrEx>
          <w:tblCellMar>
            <w:top w:w="0" w:type="dxa"/>
            <w:left w:w="108" w:type="dxa"/>
            <w:bottom w:w="0" w:type="dxa"/>
            <w:right w:w="108" w:type="dxa"/>
          </w:tblCellMar>
        </w:tblPrEx>
        <w:trPr>
          <w:trHeight w:val="738"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平掌乡</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以平掌乡行政区划为界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41</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w:t>
            </w:r>
          </w:p>
        </w:tc>
        <w:tc>
          <w:tcPr>
            <w:tcW w:w="2985" w:type="dxa"/>
            <w:vMerge w:val="continue"/>
            <w:tcBorders>
              <w:left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auto"/>
                <w:sz w:val="22"/>
                <w:szCs w:val="22"/>
              </w:rPr>
            </w:pPr>
          </w:p>
        </w:tc>
      </w:tr>
      <w:tr>
        <w:tblPrEx>
          <w:tblCellMar>
            <w:top w:w="0" w:type="dxa"/>
            <w:left w:w="108" w:type="dxa"/>
            <w:bottom w:w="0" w:type="dxa"/>
            <w:right w:w="108" w:type="dxa"/>
          </w:tblCellMar>
        </w:tblPrEx>
        <w:trPr>
          <w:trHeight w:val="673" w:hRule="atLeast"/>
          <w:jc w:val="center"/>
        </w:trPr>
        <w:tc>
          <w:tcPr>
            <w:tcW w:w="516"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平甸乡</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以平甸乡行政区划为界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23</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w:t>
            </w:r>
          </w:p>
        </w:tc>
        <w:tc>
          <w:tcPr>
            <w:tcW w:w="2985"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auto"/>
                <w:sz w:val="22"/>
                <w:szCs w:val="22"/>
              </w:rPr>
            </w:pPr>
          </w:p>
        </w:tc>
      </w:tr>
    </w:tbl>
    <w:p>
      <w:pPr>
        <w:spacing w:before="42" w:line="219" w:lineRule="auto"/>
        <w:ind w:right="-101" w:rightChars="-48"/>
        <w:rPr>
          <w:rFonts w:hint="eastAsia" w:ascii="宋体" w:hAnsi="宋体" w:eastAsia="宋体" w:cs="宋体"/>
          <w:spacing w:val="-1"/>
          <w:lang w:eastAsia="zh-CN"/>
        </w:rPr>
      </w:pPr>
    </w:p>
    <w:p>
      <w:pPr>
        <w:spacing w:before="42" w:line="219" w:lineRule="auto"/>
        <w:ind w:right="-101" w:rightChars="-48"/>
        <w:rPr>
          <w:rFonts w:ascii="宋体" w:hAnsi="宋体" w:eastAsia="宋体" w:cs="宋体"/>
          <w:spacing w:val="-1"/>
          <w:lang w:eastAsia="zh-CN"/>
        </w:rPr>
      </w:pPr>
      <w:r>
        <w:rPr>
          <w:rFonts w:hint="eastAsia" w:ascii="宋体" w:hAnsi="宋体" w:eastAsia="宋体" w:cs="宋体"/>
          <w:spacing w:val="-1"/>
          <w:lang w:eastAsia="zh-CN"/>
        </w:rPr>
        <w:t>备注：1.本公示表的数据根据本县零售点布局规划实行定期评价、动态管理。</w:t>
      </w:r>
    </w:p>
    <w:p>
      <w:pPr>
        <w:spacing w:before="42" w:line="219" w:lineRule="auto"/>
        <w:ind w:firstLine="624" w:firstLineChars="300"/>
        <w:rPr>
          <w:rFonts w:ascii="宋体" w:hAnsi="宋体" w:eastAsia="宋体" w:cs="宋体"/>
          <w:spacing w:val="-1"/>
          <w:lang w:eastAsia="zh-CN"/>
        </w:rPr>
      </w:pPr>
      <w:r>
        <w:rPr>
          <w:rFonts w:hint="eastAsia" w:ascii="宋体" w:hAnsi="宋体" w:eastAsia="宋体" w:cs="宋体"/>
          <w:spacing w:val="-1"/>
          <w:lang w:eastAsia="zh-CN"/>
        </w:rPr>
        <w:t>2.每季度根据经济发展、城乡建设、市场形势等变化情况对本表中的数据进行动态调整，规划数相应进行动态更新，以每季度最后一次公示的数据为准。</w:t>
      </w:r>
    </w:p>
    <w:p>
      <w:pPr>
        <w:spacing w:before="42" w:line="219" w:lineRule="auto"/>
        <w:ind w:firstLine="624" w:firstLineChars="300"/>
        <w:rPr>
          <w:rFonts w:ascii="方正小标宋简体" w:hAnsi="Times New Roman" w:eastAsia="方正小标宋简体" w:cs="Times New Roman"/>
          <w:snapToGrid/>
          <w:color w:val="auto"/>
          <w:kern w:val="2"/>
          <w:sz w:val="32"/>
          <w:szCs w:val="32"/>
          <w:lang w:eastAsia="zh-CN"/>
        </w:rPr>
      </w:pPr>
      <w:r>
        <w:rPr>
          <w:rFonts w:hint="eastAsia" w:ascii="宋体" w:hAnsi="宋体" w:eastAsia="宋体" w:cs="宋体"/>
          <w:spacing w:val="-1"/>
          <w:lang w:eastAsia="zh-CN"/>
        </w:rPr>
        <w:t>3.本数据由云南省</w:t>
      </w:r>
      <w:r>
        <w:rPr>
          <w:rFonts w:hint="eastAsia" w:ascii="宋体" w:hAnsi="宋体" w:eastAsia="宋体" w:cs="宋体"/>
          <w:spacing w:val="-1"/>
          <w:lang w:val="en-US" w:eastAsia="zh-Hans"/>
        </w:rPr>
        <w:t>新平彝族傣族自治</w:t>
      </w:r>
      <w:r>
        <w:rPr>
          <w:rFonts w:hint="eastAsia" w:ascii="宋体" w:hAnsi="宋体" w:eastAsia="宋体" w:cs="宋体"/>
          <w:spacing w:val="-1"/>
          <w:lang w:eastAsia="zh-CN"/>
        </w:rPr>
        <w:t>县烟草专卖局负责解释，咨询电话：</w:t>
      </w:r>
      <w:r>
        <w:rPr>
          <w:rFonts w:hint="default" w:ascii="宋体" w:hAnsi="宋体" w:eastAsia="宋体" w:cs="宋体"/>
          <w:spacing w:val="-1"/>
          <w:lang w:eastAsia="zh-CN"/>
        </w:rPr>
        <w:t>0877-7016260</w:t>
      </w:r>
      <w:r>
        <w:rPr>
          <w:rFonts w:hint="eastAsia" w:ascii="宋体" w:hAnsi="宋体" w:eastAsia="宋体" w:cs="宋体"/>
          <w:spacing w:val="-1"/>
          <w:lang w:eastAsia="zh-CN"/>
        </w:rPr>
        <w:t>。</w:t>
      </w:r>
    </w:p>
    <w:p>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pPr>
    </w:p>
    <w:p>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sectPr>
          <w:footerReference r:id="rId9" w:type="first"/>
          <w:footerReference r:id="rId7" w:type="default"/>
          <w:footerReference r:id="rId8" w:type="even"/>
          <w:pgSz w:w="16848" w:h="11916" w:orient="landscape"/>
          <w:pgMar w:top="1530" w:right="2098" w:bottom="1531" w:left="1984" w:header="850" w:footer="1531" w:gutter="0"/>
          <w:pgNumType w:fmt="numberInDash" w:start="1"/>
          <w:cols w:space="0" w:num="1"/>
          <w:titlePg/>
          <w:rtlGutter w:val="0"/>
          <w:docGrid w:linePitch="0" w:charSpace="0"/>
        </w:sectPr>
      </w:pPr>
    </w:p>
    <w:p>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pPr>
    </w:p>
    <w:p>
      <w:pPr>
        <w:ind w:firstLine="672"/>
        <w:rPr>
          <w:rFonts w:ascii="黑体" w:hAnsi="黑体" w:eastAsia="黑体" w:cs="黑体"/>
          <w:spacing w:val="8"/>
          <w:sz w:val="32"/>
          <w:szCs w:val="32"/>
        </w:rPr>
      </w:pPr>
      <w:r>
        <w:rPr>
          <w:rFonts w:hint="eastAsia" w:ascii="黑体" w:hAnsi="黑体" w:eastAsia="黑体" w:cs="黑体"/>
          <w:spacing w:val="8"/>
          <w:sz w:val="32"/>
          <w:szCs w:val="32"/>
        </w:rPr>
        <w:t>附件</w:t>
      </w:r>
      <w:r>
        <w:rPr>
          <w:rFonts w:ascii="黑体" w:hAnsi="黑体" w:eastAsia="黑体" w:cs="黑体"/>
          <w:spacing w:val="8"/>
          <w:sz w:val="32"/>
          <w:szCs w:val="32"/>
        </w:rPr>
        <w:t>3</w:t>
      </w:r>
    </w:p>
    <w:p>
      <w:pPr>
        <w:spacing w:line="24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云南省</w:t>
      </w:r>
      <w:r>
        <w:rPr>
          <w:rFonts w:hint="eastAsia" w:ascii="方正小标宋简体" w:hAnsi="方正小标宋简体" w:eastAsia="方正小标宋简体" w:cs="方正小标宋简体"/>
          <w:sz w:val="44"/>
          <w:szCs w:val="44"/>
          <w:lang w:val="en-US" w:eastAsia="zh-Hans"/>
        </w:rPr>
        <w:t>新平彝族傣族自治</w:t>
      </w:r>
      <w:r>
        <w:rPr>
          <w:rFonts w:hint="eastAsia" w:ascii="方正小标宋简体" w:hAnsi="方正小标宋简体" w:eastAsia="方正小标宋简体" w:cs="方正小标宋简体"/>
          <w:sz w:val="44"/>
          <w:szCs w:val="44"/>
        </w:rPr>
        <w:t>县烟草制品零售点</w:t>
      </w:r>
    </w:p>
    <w:p>
      <w:pPr>
        <w:spacing w:line="24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合理布局网格示意图</w:t>
      </w:r>
    </w:p>
    <w:p>
      <w:pPr>
        <w:ind w:right="-31" w:rightChars="-15" w:firstLine="0" w:firstLineChars="0"/>
        <w:jc w:val="center"/>
      </w:pPr>
      <w:r>
        <w:drawing>
          <wp:inline distT="0" distB="0" distL="114300" distR="114300">
            <wp:extent cx="5466715" cy="3178810"/>
            <wp:effectExtent l="0" t="0" r="635" b="2540"/>
            <wp:docPr id="4" name="图片 4" descr="/home/yxyc/桌面/原桌面文件/2024年合理化布局文本/2024年合理化布局/网格/MEITU_20241027_152704219.jpgMEITU_20241027_152704219"/>
            <wp:cNvGraphicFramePr/>
            <a:graphic xmlns:a="http://schemas.openxmlformats.org/drawingml/2006/main">
              <a:graphicData uri="http://schemas.openxmlformats.org/drawingml/2006/picture">
                <pic:pic xmlns:pic="http://schemas.openxmlformats.org/drawingml/2006/picture">
                  <pic:nvPicPr>
                    <pic:cNvPr id="4" name="图片 4" descr="/home/yxyc/桌面/原桌面文件/2024年合理化布局文本/2024年合理化布局/网格/MEITU_20241027_152704219.jpgMEITU_20241027_152704219"/>
                    <pic:cNvPicPr/>
                  </pic:nvPicPr>
                  <pic:blipFill>
                    <a:blip r:embed="rId35"/>
                    <a:srcRect/>
                    <a:stretch>
                      <a:fillRect/>
                    </a:stretch>
                  </pic:blipFill>
                  <pic:spPr>
                    <a:xfrm>
                      <a:off x="0" y="0"/>
                      <a:ext cx="5466715" cy="3178810"/>
                    </a:xfrm>
                    <a:prstGeom prst="rect">
                      <a:avLst/>
                    </a:prstGeom>
                    <a:noFill/>
                    <a:ln>
                      <a:noFill/>
                    </a:ln>
                  </pic:spPr>
                </pic:pic>
              </a:graphicData>
            </a:graphic>
          </wp:inline>
        </w:drawing>
      </w:r>
    </w:p>
    <w:p>
      <w:pPr>
        <w:ind w:right="-31" w:rightChars="-15" w:firstLine="0" w:firstLineChars="0"/>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（图：新平县行政区划）</w:t>
      </w:r>
    </w:p>
    <w:p>
      <w:pPr>
        <w:ind w:right="-31" w:rightChars="-15" w:firstLine="0" w:firstLineChars="0"/>
        <w:jc w:val="left"/>
        <w:rPr>
          <w:rFonts w:hint="eastAsia"/>
          <w:sz w:val="21"/>
          <w:szCs w:val="21"/>
          <w:lang w:eastAsia="zh-CN"/>
        </w:rPr>
      </w:pPr>
      <w:r>
        <w:rPr>
          <w:rFonts w:hint="eastAsia"/>
          <w:sz w:val="21"/>
          <w:szCs w:val="21"/>
          <w:lang w:eastAsia="zh-CN"/>
        </w:rPr>
        <w:drawing>
          <wp:inline distT="0" distB="0" distL="114300" distR="114300">
            <wp:extent cx="4145915" cy="3505200"/>
            <wp:effectExtent l="0" t="0" r="6985" b="0"/>
            <wp:docPr id="5" name="图片 5" descr="桂山街道-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桂山街道-1"/>
                    <pic:cNvPicPr>
                      <a:picLocks noChangeAspect="1"/>
                    </pic:cNvPicPr>
                  </pic:nvPicPr>
                  <pic:blipFill>
                    <a:blip r:embed="rId36"/>
                    <a:stretch>
                      <a:fillRect/>
                    </a:stretch>
                  </pic:blipFill>
                  <pic:spPr>
                    <a:xfrm>
                      <a:off x="0" y="0"/>
                      <a:ext cx="4145915" cy="3505200"/>
                    </a:xfrm>
                    <a:prstGeom prst="rect">
                      <a:avLst/>
                    </a:prstGeom>
                  </pic:spPr>
                </pic:pic>
              </a:graphicData>
            </a:graphic>
          </wp:inline>
        </w:drawing>
      </w:r>
      <w:r>
        <w:rPr>
          <w:rFonts w:hint="eastAsia"/>
          <w:sz w:val="21"/>
          <w:szCs w:val="21"/>
          <w:lang w:val="en-US" w:eastAsia="zh-CN"/>
        </w:rPr>
        <w:t xml:space="preserve">   </w:t>
      </w:r>
      <w:r>
        <w:rPr>
          <w:rFonts w:hint="eastAsia"/>
          <w:sz w:val="21"/>
          <w:szCs w:val="21"/>
          <w:lang w:eastAsia="zh-CN"/>
        </w:rPr>
        <w:drawing>
          <wp:inline distT="0" distB="0" distL="114300" distR="114300">
            <wp:extent cx="3749040" cy="3505200"/>
            <wp:effectExtent l="0" t="0" r="3810" b="0"/>
            <wp:docPr id="6" name="图片 6" descr="/home/yxyc/桌面/原桌面文件/2024年合理化布局文本/2024年合理化布局/网格/MEITU_20241027_151402762.jpgMEITU_20241027_15140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ome/yxyc/桌面/原桌面文件/2024年合理化布局文本/2024年合理化布局/网格/MEITU_20241027_151402762.jpgMEITU_20241027_151402762"/>
                    <pic:cNvPicPr>
                      <a:picLocks noChangeAspect="1"/>
                    </pic:cNvPicPr>
                  </pic:nvPicPr>
                  <pic:blipFill>
                    <a:blip r:embed="rId37"/>
                    <a:srcRect/>
                    <a:stretch>
                      <a:fillRect/>
                    </a:stretch>
                  </pic:blipFill>
                  <pic:spPr>
                    <a:xfrm>
                      <a:off x="0" y="0"/>
                      <a:ext cx="3749040" cy="3505200"/>
                    </a:xfrm>
                    <a:prstGeom prst="rect">
                      <a:avLst/>
                    </a:prstGeom>
                  </pic:spPr>
                </pic:pic>
              </a:graphicData>
            </a:graphic>
          </wp:inline>
        </w:drawing>
      </w:r>
      <w:r>
        <w:rPr>
          <w:rFonts w:hint="eastAsia"/>
          <w:sz w:val="21"/>
          <w:szCs w:val="21"/>
          <w:lang w:val="en-US" w:eastAsia="zh-CN"/>
        </w:rPr>
        <w:t xml:space="preserve"> </w:t>
      </w:r>
    </w:p>
    <w:p>
      <w:pPr>
        <w:ind w:right="-31" w:rightChars="-15" w:firstLine="1260" w:firstLineChars="600"/>
        <w:jc w:val="both"/>
        <w:rPr>
          <w:rFonts w:hint="eastAsia"/>
          <w:sz w:val="21"/>
          <w:szCs w:val="21"/>
          <w:lang w:eastAsia="zh-CN"/>
        </w:rPr>
      </w:pPr>
    </w:p>
    <w:p>
      <w:pPr>
        <w:ind w:right="-31" w:rightChars="-15" w:firstLine="2319" w:firstLineChars="1100"/>
        <w:jc w:val="both"/>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（图：桂山街道</w:t>
      </w:r>
      <w:r>
        <w:rPr>
          <w:rFonts w:hint="eastAsia" w:asciiTheme="minorEastAsia" w:hAnsiTheme="minorEastAsia" w:eastAsiaTheme="minorEastAsia" w:cstheme="minorEastAsia"/>
          <w:b/>
          <w:bCs/>
          <w:sz w:val="21"/>
          <w:szCs w:val="21"/>
          <w:lang w:val="en-US" w:eastAsia="zh-CN"/>
        </w:rPr>
        <w:t>-1</w:t>
      </w:r>
      <w:r>
        <w:rPr>
          <w:rFonts w:hint="eastAsia" w:asciiTheme="minorEastAsia" w:hAnsiTheme="minorEastAsia" w:eastAsiaTheme="minorEastAsia" w:cstheme="minorEastAsia"/>
          <w:b/>
          <w:bCs/>
          <w:sz w:val="21"/>
          <w:szCs w:val="21"/>
          <w:lang w:eastAsia="zh-CN"/>
        </w:rPr>
        <w:t>）</w:t>
      </w:r>
      <w:r>
        <w:rPr>
          <w:rFonts w:hint="eastAsia" w:asciiTheme="minorEastAsia" w:hAnsiTheme="minorEastAsia" w:eastAsiaTheme="minorEastAsia" w:cstheme="minorEastAsia"/>
          <w:b/>
          <w:bCs/>
          <w:sz w:val="21"/>
          <w:szCs w:val="21"/>
          <w:lang w:val="en-US" w:eastAsia="zh-CN"/>
        </w:rPr>
        <w:t xml:space="preserve">                                            </w:t>
      </w:r>
      <w:r>
        <w:rPr>
          <w:rFonts w:hint="eastAsia" w:asciiTheme="minorEastAsia" w:hAnsiTheme="minorEastAsia" w:eastAsiaTheme="minorEastAsia" w:cstheme="minorEastAsia"/>
          <w:b/>
          <w:bCs/>
          <w:sz w:val="21"/>
          <w:szCs w:val="21"/>
          <w:lang w:eastAsia="zh-CN"/>
        </w:rPr>
        <w:t>（图：桂山街道</w:t>
      </w:r>
      <w:r>
        <w:rPr>
          <w:rFonts w:hint="eastAsia" w:asciiTheme="minorEastAsia" w:hAnsiTheme="minorEastAsia" w:eastAsiaTheme="minorEastAsia" w:cstheme="minorEastAsia"/>
          <w:b/>
          <w:bCs/>
          <w:sz w:val="21"/>
          <w:szCs w:val="21"/>
          <w:lang w:val="en-US" w:eastAsia="zh-CN"/>
        </w:rPr>
        <w:t>-2</w:t>
      </w:r>
      <w:r>
        <w:rPr>
          <w:rFonts w:hint="eastAsia" w:asciiTheme="minorEastAsia" w:hAnsiTheme="minorEastAsia" w:eastAsiaTheme="minorEastAsia" w:cstheme="minorEastAsia"/>
          <w:b/>
          <w:bCs/>
          <w:sz w:val="21"/>
          <w:szCs w:val="21"/>
          <w:lang w:eastAsia="zh-CN"/>
        </w:rPr>
        <w:t>）</w:t>
      </w:r>
    </w:p>
    <w:p>
      <w:pPr>
        <w:ind w:right="-31" w:rightChars="-15" w:firstLine="0" w:firstLineChars="0"/>
        <w:jc w:val="left"/>
        <w:rPr>
          <w:rFonts w:hint="eastAsia" w:asciiTheme="minorEastAsia" w:hAnsiTheme="minorEastAsia" w:eastAsiaTheme="minorEastAsia" w:cstheme="minorEastAsia"/>
          <w:b/>
          <w:bCs/>
          <w:sz w:val="21"/>
          <w:szCs w:val="21"/>
          <w:lang w:val="en-US" w:eastAsia="zh-CN"/>
        </w:rPr>
      </w:pPr>
    </w:p>
    <w:p>
      <w:pPr>
        <w:ind w:right="-31" w:rightChars="-15" w:firstLine="1890" w:firstLineChars="900"/>
        <w:jc w:val="both"/>
        <w:rPr>
          <w:rFonts w:hint="eastAsia"/>
          <w:b/>
          <w:bCs/>
          <w:sz w:val="21"/>
          <w:szCs w:val="21"/>
          <w:lang w:val="en-US" w:eastAsia="zh-CN"/>
        </w:rPr>
      </w:pPr>
    </w:p>
    <w:p>
      <w:pPr>
        <w:numPr>
          <w:ilvl w:val="0"/>
          <w:numId w:val="0"/>
        </w:numPr>
        <w:adjustRightInd w:val="0"/>
        <w:snapToGrid w:val="0"/>
        <w:spacing w:line="336" w:lineRule="auto"/>
        <w:ind w:firstLine="640" w:firstLineChars="200"/>
        <w:jc w:val="both"/>
        <w:rPr>
          <w:rFonts w:hint="eastAsia" w:ascii="仿宋_GB2312" w:hAnsi="仿宋_GB2312" w:eastAsia="仿宋_GB2312" w:cs="仿宋_GB2312"/>
          <w:sz w:val="32"/>
          <w:szCs w:val="32"/>
          <w:lang w:eastAsia="zh-CN"/>
        </w:rPr>
        <w:sectPr>
          <w:footerReference r:id="rId11" w:type="first"/>
          <w:footerReference r:id="rId10" w:type="default"/>
          <w:pgSz w:w="16848" w:h="11916" w:orient="landscape"/>
          <w:pgMar w:top="1530" w:right="2098" w:bottom="1531" w:left="1984" w:header="850" w:footer="1531" w:gutter="0"/>
          <w:pgNumType w:fmt="numberInDash" w:start="1"/>
          <w:cols w:space="0" w:num="1"/>
          <w:titlePg/>
          <w:rtlGutter w:val="0"/>
          <w:docGrid w:linePitch="0" w:charSpace="0"/>
        </w:sectPr>
      </w:pPr>
      <w:r>
        <w:rPr>
          <w:rFonts w:hint="eastAsia" w:ascii="仿宋_GB2312" w:hAnsi="仿宋_GB2312" w:eastAsia="仿宋_GB2312" w:cs="仿宋_GB2312"/>
          <w:sz w:val="32"/>
          <w:szCs w:val="32"/>
          <w:lang w:val="en-US" w:eastAsia="zh-CN"/>
        </w:rPr>
        <w:t>注意：新平县共划分为13个单元网格，其中古城街道、戛洒镇、扬武镇、新化乡、老厂乡、平甸乡、漠沙镇、水塘镇、建兴乡、者竜乡、平掌乡11个单元网格均以区域行政区划为界。</w:t>
      </w:r>
    </w:p>
    <w:p>
      <w:pPr>
        <w:spacing w:before="104" w:line="224" w:lineRule="auto"/>
        <w:ind w:left="619"/>
        <w:rPr>
          <w:rFonts w:hint="default" w:ascii="黑体" w:hAnsi="黑体" w:eastAsia="黑体" w:cs="黑体"/>
          <w:spacing w:val="8"/>
          <w:sz w:val="32"/>
          <w:szCs w:val="32"/>
          <w:lang w:val="en-US" w:eastAsia="zh-CN"/>
        </w:rPr>
      </w:pPr>
      <w:r>
        <w:rPr>
          <w:rFonts w:hint="eastAsia" w:ascii="黑体" w:hAnsi="黑体" w:eastAsia="黑体" w:cs="黑体"/>
          <w:spacing w:val="8"/>
          <w:sz w:val="32"/>
          <w:szCs w:val="32"/>
          <w:lang w:eastAsia="zh-CN"/>
        </w:rPr>
        <w:t>附件</w:t>
      </w:r>
      <w:r>
        <w:rPr>
          <w:rFonts w:hint="eastAsia" w:ascii="黑体" w:hAnsi="黑体" w:eastAsia="黑体" w:cs="黑体"/>
          <w:spacing w:val="8"/>
          <w:sz w:val="32"/>
          <w:szCs w:val="32"/>
          <w:lang w:val="en-US" w:eastAsia="zh-CN"/>
        </w:rPr>
        <w:t>4</w:t>
      </w:r>
    </w:p>
    <w:p>
      <w:pPr>
        <w:widowControl w:val="0"/>
        <w:kinsoku/>
        <w:autoSpaceDE/>
        <w:autoSpaceDN/>
        <w:adjustRightInd/>
        <w:spacing w:line="317" w:lineRule="auto"/>
        <w:jc w:val="center"/>
        <w:textAlignment w:val="auto"/>
        <w:rPr>
          <w:rFonts w:ascii="方正小标宋简体" w:hAnsi="Times New Roman" w:eastAsia="方正小标宋简体" w:cs="Times New Roman"/>
          <w:snapToGrid/>
          <w:color w:val="FF0000"/>
          <w:kern w:val="2"/>
          <w:sz w:val="44"/>
          <w:szCs w:val="44"/>
          <w:lang w:eastAsia="zh-CN"/>
        </w:rPr>
      </w:pPr>
      <w:r>
        <w:rPr>
          <w:rFonts w:hint="eastAsia" w:ascii="方正小标宋简体" w:hAnsi="Times New Roman" w:eastAsia="方正小标宋简体" w:cs="Times New Roman"/>
          <w:snapToGrid/>
          <w:kern w:val="2"/>
          <w:sz w:val="44"/>
          <w:szCs w:val="44"/>
          <w:lang w:eastAsia="zh-CN"/>
        </w:rPr>
        <w:t>云南省</w:t>
      </w:r>
      <w:r>
        <w:rPr>
          <w:rFonts w:hint="eastAsia" w:ascii="方正小标宋简体" w:hAnsi="Times New Roman" w:eastAsia="方正小标宋简体" w:cs="Times New Roman"/>
          <w:snapToGrid/>
          <w:kern w:val="2"/>
          <w:sz w:val="44"/>
          <w:szCs w:val="44"/>
          <w:lang w:val="en-US" w:eastAsia="zh-Hans"/>
        </w:rPr>
        <w:t>新平彝族傣族自治</w:t>
      </w:r>
      <w:r>
        <w:rPr>
          <w:rFonts w:hint="eastAsia" w:ascii="方正小标宋简体" w:hAnsi="Times New Roman" w:eastAsia="方正小标宋简体" w:cs="Times New Roman"/>
          <w:snapToGrid/>
          <w:kern w:val="2"/>
          <w:sz w:val="44"/>
          <w:szCs w:val="44"/>
          <w:lang w:eastAsia="zh-CN"/>
        </w:rPr>
        <w:t>县雪茄烟专营零售点合理布局公示表</w:t>
      </w:r>
    </w:p>
    <w:p>
      <w:pPr>
        <w:kinsoku/>
        <w:autoSpaceDE/>
        <w:autoSpaceDN/>
        <w:adjustRightInd/>
        <w:snapToGrid/>
        <w:textAlignment w:val="auto"/>
        <w:rPr>
          <w:rFonts w:hint="eastAsia" w:eastAsia="宋体"/>
          <w:lang w:eastAsia="zh-CN"/>
        </w:rPr>
      </w:pPr>
    </w:p>
    <w:p>
      <w:pPr>
        <w:kinsoku/>
        <w:autoSpaceDE/>
        <w:autoSpaceDN/>
        <w:adjustRightInd/>
        <w:snapToGrid/>
        <w:ind w:firstLine="210" w:firstLineChars="100"/>
        <w:textAlignment w:val="auto"/>
        <w:rPr>
          <w:rFonts w:ascii="方正小标宋简体" w:hAnsi="Times New Roman" w:eastAsia="方正小标宋简体" w:cs="Times New Roman"/>
          <w:snapToGrid/>
          <w:color w:val="FF0000"/>
          <w:kern w:val="2"/>
          <w:sz w:val="32"/>
          <w:szCs w:val="32"/>
          <w:lang w:eastAsia="zh-CN"/>
        </w:rPr>
      </w:pPr>
      <w:r>
        <w:rPr>
          <w:rFonts w:hint="eastAsia" w:eastAsia="宋体"/>
          <w:lang w:eastAsia="zh-CN"/>
        </w:rPr>
        <w:t>单位：</w:t>
      </w:r>
      <w:r>
        <w:rPr>
          <w:rFonts w:hint="eastAsia" w:eastAsia="宋体"/>
          <w:lang w:val="en-US" w:eastAsia="zh-Hans"/>
        </w:rPr>
        <w:t>云南省新平彝族傣族自治县烟</w:t>
      </w:r>
      <w:r>
        <w:rPr>
          <w:rFonts w:hint="eastAsia" w:ascii="宋体" w:hAnsi="宋体" w:eastAsia="宋体" w:cs="宋体"/>
          <w:lang w:eastAsia="zh-CN"/>
        </w:rPr>
        <w:t>草专卖局</w:t>
      </w:r>
      <w:r>
        <w:rPr>
          <w:rFonts w:hint="eastAsia" w:eastAsia="宋体"/>
          <w:lang w:eastAsia="zh-CN"/>
        </w:rPr>
        <w:t>（盖章）                               公示时间：</w:t>
      </w:r>
      <w:r>
        <w:rPr>
          <w:rFonts w:hint="eastAsia"/>
          <w:lang w:val="en-US" w:eastAsia="zh-CN"/>
        </w:rPr>
        <w:t>2025</w:t>
      </w:r>
      <w:r>
        <w:rPr>
          <w:lang w:eastAsia="zh-CN"/>
        </w:rPr>
        <w:t>年XX月XX日</w:t>
      </w:r>
      <w:r>
        <w:rPr>
          <w:rFonts w:hint="eastAsia"/>
          <w:lang w:eastAsia="zh-CN"/>
        </w:rPr>
        <w:t>-</w:t>
      </w:r>
      <w:r>
        <w:rPr>
          <w:rFonts w:hint="eastAsia"/>
          <w:lang w:val="en-US" w:eastAsia="zh-CN"/>
        </w:rPr>
        <w:t>2025</w:t>
      </w:r>
      <w:r>
        <w:rPr>
          <w:lang w:eastAsia="zh-CN"/>
        </w:rPr>
        <w:t>年</w:t>
      </w:r>
      <w:r>
        <w:rPr>
          <w:rFonts w:hint="eastAsia"/>
          <w:lang w:val="en-US" w:eastAsia="zh-CN"/>
        </w:rPr>
        <w:t>xx</w:t>
      </w:r>
      <w:r>
        <w:rPr>
          <w:lang w:eastAsia="zh-CN"/>
        </w:rPr>
        <w:t>月</w:t>
      </w:r>
      <w:r>
        <w:rPr>
          <w:rFonts w:hint="eastAsia"/>
          <w:lang w:val="en-US" w:eastAsia="zh-CN"/>
        </w:rPr>
        <w:t>xx</w:t>
      </w:r>
      <w:r>
        <w:rPr>
          <w:lang w:eastAsia="zh-CN"/>
        </w:rPr>
        <w:t>日</w:t>
      </w:r>
    </w:p>
    <w:tbl>
      <w:tblPr>
        <w:tblStyle w:val="9"/>
        <w:tblpPr w:leftFromText="180" w:rightFromText="180" w:vertAnchor="text" w:horzAnchor="page" w:tblpXSpec="center" w:tblpY="151"/>
        <w:tblOverlap w:val="never"/>
        <w:tblW w:w="11724" w:type="dxa"/>
        <w:jc w:val="center"/>
        <w:tblLayout w:type="fixed"/>
        <w:tblCellMar>
          <w:top w:w="0" w:type="dxa"/>
          <w:left w:w="108" w:type="dxa"/>
          <w:bottom w:w="0" w:type="dxa"/>
          <w:right w:w="108" w:type="dxa"/>
        </w:tblCellMar>
      </w:tblPr>
      <w:tblGrid>
        <w:gridCol w:w="3245"/>
        <w:gridCol w:w="2295"/>
        <w:gridCol w:w="2175"/>
        <w:gridCol w:w="2190"/>
        <w:gridCol w:w="1819"/>
      </w:tblGrid>
      <w:tr>
        <w:tblPrEx>
          <w:tblCellMar>
            <w:top w:w="0" w:type="dxa"/>
            <w:left w:w="108" w:type="dxa"/>
            <w:bottom w:w="0" w:type="dxa"/>
            <w:right w:w="108" w:type="dxa"/>
          </w:tblCellMar>
        </w:tblPrEx>
        <w:trPr>
          <w:trHeight w:val="920" w:hRule="atLeast"/>
          <w:jc w:val="center"/>
        </w:trPr>
        <w:tc>
          <w:tcPr>
            <w:tcW w:w="324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eastAsia="宋体" w:cs="宋体"/>
                <w:b/>
                <w:bCs/>
                <w:color w:val="auto"/>
                <w:sz w:val="24"/>
                <w:szCs w:val="24"/>
              </w:rPr>
            </w:pPr>
            <w:r>
              <w:rPr>
                <w:rFonts w:hint="eastAsia" w:ascii="宋体" w:hAnsi="宋体" w:eastAsia="宋体" w:cs="宋体"/>
                <w:b/>
                <w:bCs/>
                <w:color w:val="auto"/>
                <w:sz w:val="24"/>
                <w:szCs w:val="24"/>
                <w:lang w:eastAsia="zh-CN" w:bidi="ar"/>
              </w:rPr>
              <w:t>行政区域</w:t>
            </w:r>
          </w:p>
        </w:tc>
        <w:tc>
          <w:tcPr>
            <w:tcW w:w="6660" w:type="dxa"/>
            <w:gridSpan w:val="3"/>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textAlignment w:val="center"/>
              <w:rPr>
                <w:rFonts w:hint="eastAsia" w:ascii="宋体" w:hAnsi="宋体" w:eastAsia="宋体" w:cs="宋体"/>
                <w:b/>
                <w:bCs/>
                <w:color w:val="auto"/>
                <w:sz w:val="24"/>
                <w:szCs w:val="24"/>
                <w:lang w:eastAsia="zh-CN" w:bidi="ar"/>
              </w:rPr>
            </w:pPr>
            <w:r>
              <w:rPr>
                <w:rFonts w:hint="eastAsia" w:ascii="宋体" w:hAnsi="宋体" w:eastAsia="宋体" w:cs="宋体"/>
                <w:b/>
                <w:bCs/>
                <w:color w:val="auto"/>
                <w:sz w:val="24"/>
                <w:szCs w:val="24"/>
                <w:lang w:eastAsia="zh-CN" w:bidi="ar"/>
              </w:rPr>
              <w:t>雪茄烟专营零售点规划数量情况</w:t>
            </w:r>
          </w:p>
        </w:tc>
        <w:tc>
          <w:tcPr>
            <w:tcW w:w="1819" w:type="dxa"/>
            <w:vMerge w:val="restart"/>
            <w:tcBorders>
              <w:top w:val="single" w:color="000000" w:sz="4" w:space="0"/>
              <w:left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auto"/>
                <w:sz w:val="22"/>
                <w:szCs w:val="22"/>
              </w:rPr>
            </w:pPr>
            <w:r>
              <w:rPr>
                <w:rFonts w:hint="eastAsia" w:ascii="宋体" w:hAnsi="宋体" w:eastAsia="宋体" w:cs="宋体"/>
                <w:b/>
                <w:bCs/>
                <w:color w:val="auto"/>
                <w:sz w:val="24"/>
                <w:szCs w:val="24"/>
                <w:lang w:eastAsia="zh-CN" w:bidi="ar"/>
              </w:rPr>
              <w:t>备注</w:t>
            </w:r>
          </w:p>
        </w:tc>
      </w:tr>
      <w:tr>
        <w:tblPrEx>
          <w:tblCellMar>
            <w:top w:w="0" w:type="dxa"/>
            <w:left w:w="108" w:type="dxa"/>
            <w:bottom w:w="0" w:type="dxa"/>
            <w:right w:w="108" w:type="dxa"/>
          </w:tblCellMar>
        </w:tblPrEx>
        <w:trPr>
          <w:trHeight w:val="835" w:hRule="atLeast"/>
          <w:jc w:val="center"/>
        </w:trPr>
        <w:tc>
          <w:tcPr>
            <w:tcW w:w="3245"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color w:val="auto"/>
                <w:sz w:val="22"/>
                <w:szCs w:val="22"/>
              </w:rPr>
            </w:pPr>
          </w:p>
        </w:tc>
        <w:tc>
          <w:tcPr>
            <w:tcW w:w="2295" w:type="dxa"/>
            <w:tcBorders>
              <w:top w:val="single" w:color="000000" w:sz="4" w:space="0"/>
              <w:left w:val="single" w:color="auto"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规划数（个）</w:t>
            </w:r>
          </w:p>
        </w:tc>
        <w:tc>
          <w:tcPr>
            <w:tcW w:w="2175"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当前实际数（个）</w:t>
            </w:r>
          </w:p>
        </w:tc>
        <w:tc>
          <w:tcPr>
            <w:tcW w:w="2190"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hint="eastAsia" w:ascii="宋体" w:hAnsi="宋体" w:eastAsia="宋体" w:cs="宋体"/>
                <w:color w:val="auto"/>
                <w:sz w:val="22"/>
                <w:szCs w:val="22"/>
                <w:lang w:val="en-US" w:eastAsia="zh-CN" w:bidi="ar"/>
              </w:rPr>
            </w:pPr>
            <w:r>
              <w:rPr>
                <w:rFonts w:hint="eastAsia" w:ascii="宋体" w:hAnsi="宋体" w:eastAsia="宋体" w:cs="宋体"/>
                <w:color w:val="auto"/>
                <w:sz w:val="22"/>
                <w:szCs w:val="22"/>
                <w:lang w:val="en-US" w:eastAsia="zh-CN" w:bidi="ar"/>
              </w:rPr>
              <w:t>余量（个）</w:t>
            </w:r>
          </w:p>
        </w:tc>
        <w:tc>
          <w:tcPr>
            <w:tcW w:w="1819" w:type="dxa"/>
            <w:vMerge w:val="continue"/>
            <w:tcBorders>
              <w:left w:val="single" w:color="000000" w:sz="4" w:space="0"/>
              <w:bottom w:val="single" w:color="auto" w:sz="4" w:space="0"/>
              <w:right w:val="single" w:color="000000" w:sz="4" w:space="0"/>
            </w:tcBorders>
            <w:shd w:val="clear" w:color="auto" w:fill="auto"/>
            <w:vAlign w:val="center"/>
          </w:tcPr>
          <w:p>
            <w:pPr>
              <w:jc w:val="both"/>
              <w:textAlignment w:val="center"/>
              <w:rPr>
                <w:rFonts w:ascii="宋体" w:hAnsi="宋体" w:eastAsia="宋体" w:cs="宋体"/>
                <w:color w:val="auto"/>
                <w:sz w:val="22"/>
                <w:szCs w:val="22"/>
              </w:rPr>
            </w:pPr>
          </w:p>
        </w:tc>
      </w:tr>
      <w:tr>
        <w:tblPrEx>
          <w:tblCellMar>
            <w:top w:w="0" w:type="dxa"/>
            <w:left w:w="108" w:type="dxa"/>
            <w:bottom w:w="0" w:type="dxa"/>
            <w:right w:w="108" w:type="dxa"/>
          </w:tblCellMar>
        </w:tblPrEx>
        <w:trPr>
          <w:trHeight w:val="1873" w:hRule="atLeast"/>
          <w:jc w:val="center"/>
        </w:trPr>
        <w:tc>
          <w:tcPr>
            <w:tcW w:w="3245"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auto"/>
                <w:sz w:val="22"/>
                <w:szCs w:val="22"/>
                <w:lang w:eastAsia="zh-CN"/>
              </w:rPr>
            </w:pPr>
            <w:r>
              <w:rPr>
                <w:rFonts w:hint="eastAsia" w:ascii="宋体" w:hAnsi="宋体" w:eastAsia="宋体" w:cs="宋体"/>
                <w:color w:val="auto"/>
                <w:sz w:val="22"/>
                <w:szCs w:val="22"/>
                <w:lang w:eastAsia="zh-CN"/>
              </w:rPr>
              <w:t>新平彝族傣族自治县</w:t>
            </w:r>
          </w:p>
        </w:tc>
        <w:tc>
          <w:tcPr>
            <w:tcW w:w="2295"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2" w:lineRule="auto"/>
              <w:jc w:val="center"/>
              <w:textAlignment w:val="baseline"/>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30</w:t>
            </w:r>
          </w:p>
        </w:tc>
        <w:tc>
          <w:tcPr>
            <w:tcW w:w="2175"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36" w:lineRule="auto"/>
              <w:jc w:val="center"/>
              <w:textAlignment w:val="baseline"/>
              <w:rPr>
                <w:rFonts w:hint="default" w:eastAsia="宋体"/>
                <w:lang w:val="en-US" w:eastAsia="zh-CN"/>
              </w:rPr>
            </w:pPr>
            <w:r>
              <w:rPr>
                <w:rFonts w:hint="eastAsia" w:eastAsia="宋体"/>
                <w:lang w:val="en-US" w:eastAsia="zh-CN"/>
              </w:rPr>
              <w:t>0</w:t>
            </w:r>
          </w:p>
        </w:tc>
        <w:tc>
          <w:tcPr>
            <w:tcW w:w="21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default" w:ascii="宋体" w:hAnsi="宋体" w:eastAsia="宋体" w:cs="宋体"/>
                <w:snapToGrid w:val="0"/>
                <w:color w:val="000000"/>
                <w:kern w:val="0"/>
                <w:sz w:val="22"/>
                <w:szCs w:val="22"/>
                <w:lang w:val="en-US" w:eastAsia="zh-CN" w:bidi="ar-SA"/>
              </w:rPr>
            </w:pPr>
            <w:r>
              <w:rPr>
                <w:rFonts w:hint="eastAsia" w:ascii="宋体" w:hAnsi="宋体" w:eastAsia="宋体" w:cs="宋体"/>
                <w:snapToGrid w:val="0"/>
                <w:color w:val="000000"/>
                <w:kern w:val="0"/>
                <w:sz w:val="22"/>
                <w:szCs w:val="22"/>
                <w:lang w:val="en-US" w:eastAsia="zh-CN" w:bidi="ar-SA"/>
              </w:rPr>
              <w:t>30</w:t>
            </w:r>
          </w:p>
        </w:tc>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default" w:ascii="宋体" w:hAnsi="宋体" w:eastAsia="宋体" w:cs="宋体"/>
                <w:snapToGrid w:val="0"/>
                <w:color w:val="000000"/>
                <w:kern w:val="0"/>
                <w:sz w:val="22"/>
                <w:szCs w:val="22"/>
                <w:lang w:val="en-US" w:eastAsia="zh-CN" w:bidi="ar-SA"/>
              </w:rPr>
            </w:pPr>
          </w:p>
        </w:tc>
      </w:tr>
    </w:tbl>
    <w:p>
      <w:pPr>
        <w:spacing w:before="42" w:line="219" w:lineRule="auto"/>
        <w:ind w:right="-101" w:rightChars="-48"/>
        <w:rPr>
          <w:rFonts w:hint="eastAsia" w:ascii="宋体" w:hAnsi="宋体" w:eastAsia="宋体" w:cs="宋体"/>
          <w:spacing w:val="-1"/>
          <w:lang w:eastAsia="zh-CN"/>
        </w:rPr>
      </w:pPr>
    </w:p>
    <w:p>
      <w:pPr>
        <w:spacing w:before="42" w:line="219" w:lineRule="auto"/>
        <w:ind w:right="-101" w:rightChars="-48"/>
        <w:rPr>
          <w:rFonts w:hint="eastAsia" w:ascii="宋体" w:hAnsi="宋体" w:eastAsia="宋体" w:cs="宋体"/>
          <w:spacing w:val="-1"/>
          <w:lang w:eastAsia="zh-CN"/>
        </w:rPr>
      </w:pP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ascii="宋体" w:hAnsi="宋体" w:eastAsia="宋体" w:cs="宋体"/>
          <w:spacing w:val="-1"/>
          <w:lang w:eastAsia="zh-CN"/>
        </w:rPr>
      </w:pPr>
      <w:r>
        <w:rPr>
          <w:rFonts w:hint="eastAsia" w:ascii="宋体" w:hAnsi="宋体" w:eastAsia="宋体" w:cs="宋体"/>
          <w:spacing w:val="-1"/>
          <w:lang w:eastAsia="zh-CN"/>
        </w:rPr>
        <w:t>备注：1</w:t>
      </w:r>
      <w:r>
        <w:rPr>
          <w:rFonts w:hint="eastAsia" w:ascii="宋体" w:hAnsi="宋体" w:eastAsia="宋体" w:cs="宋体"/>
          <w:spacing w:val="-1"/>
          <w:lang w:val="en-US" w:eastAsia="zh-CN"/>
        </w:rPr>
        <w:t>.</w:t>
      </w:r>
      <w:r>
        <w:rPr>
          <w:rFonts w:hint="eastAsia" w:ascii="宋体" w:hAnsi="宋体" w:eastAsia="宋体" w:cs="宋体"/>
          <w:spacing w:val="-1"/>
          <w:lang w:eastAsia="zh-CN"/>
        </w:rPr>
        <w:t>本公示表的数据根据本县零售点布局规划实行定期评价、动态管理。</w:t>
      </w: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firstLine="624" w:firstLineChars="300"/>
        <w:textAlignment w:val="baseline"/>
        <w:rPr>
          <w:rFonts w:ascii="宋体" w:hAnsi="宋体" w:eastAsia="宋体" w:cs="宋体"/>
          <w:spacing w:val="-1"/>
          <w:lang w:eastAsia="zh-CN"/>
        </w:rPr>
      </w:pPr>
      <w:r>
        <w:rPr>
          <w:rFonts w:hint="eastAsia" w:ascii="宋体" w:hAnsi="宋体" w:eastAsia="宋体" w:cs="宋体"/>
          <w:spacing w:val="-1"/>
          <w:lang w:eastAsia="zh-CN"/>
        </w:rPr>
        <w:t>2.每季度根据经济发展、城乡建设、市场形势等变化情况对本表中的数据进行动态调整，规划数相应进行动态更新，以每季度最后一次公示的数据为准。</w:t>
      </w: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firstLine="624" w:firstLineChars="300"/>
        <w:textAlignment w:val="baseline"/>
        <w:rPr>
          <w:rFonts w:ascii="方正小标宋简体" w:hAnsi="Times New Roman" w:eastAsia="方正小标宋简体" w:cs="Times New Roman"/>
          <w:snapToGrid/>
          <w:color w:val="auto"/>
          <w:kern w:val="2"/>
          <w:sz w:val="32"/>
          <w:szCs w:val="32"/>
          <w:lang w:eastAsia="zh-CN"/>
        </w:rPr>
      </w:pPr>
      <w:r>
        <w:rPr>
          <w:rFonts w:hint="eastAsia" w:ascii="宋体" w:hAnsi="宋体" w:eastAsia="宋体" w:cs="宋体"/>
          <w:spacing w:val="-1"/>
          <w:lang w:eastAsia="zh-CN"/>
        </w:rPr>
        <w:t>3.本数据由云南省</w:t>
      </w:r>
      <w:r>
        <w:rPr>
          <w:rFonts w:hint="eastAsia" w:ascii="宋体" w:hAnsi="宋体" w:eastAsia="宋体" w:cs="宋体"/>
          <w:spacing w:val="-1"/>
          <w:lang w:val="en-US" w:eastAsia="zh-Hans"/>
        </w:rPr>
        <w:t>新平彝族傣族自治</w:t>
      </w:r>
      <w:r>
        <w:rPr>
          <w:rFonts w:hint="eastAsia" w:ascii="宋体" w:hAnsi="宋体" w:eastAsia="宋体" w:cs="宋体"/>
          <w:spacing w:val="-1"/>
          <w:lang w:eastAsia="zh-CN"/>
        </w:rPr>
        <w:t>县烟草专卖局负责解释，咨询电话：</w:t>
      </w:r>
      <w:r>
        <w:rPr>
          <w:rFonts w:hint="default" w:ascii="宋体" w:hAnsi="宋体" w:eastAsia="宋体" w:cs="宋体"/>
          <w:spacing w:val="-1"/>
          <w:lang w:eastAsia="zh-CN"/>
        </w:rPr>
        <w:t>0877-7016260</w:t>
      </w:r>
      <w:r>
        <w:rPr>
          <w:rFonts w:hint="eastAsia" w:ascii="宋体" w:hAnsi="宋体" w:eastAsia="宋体" w:cs="宋体"/>
          <w:spacing w:val="-1"/>
          <w:lang w:eastAsia="zh-CN"/>
        </w:rPr>
        <w:t>。</w:t>
      </w:r>
    </w:p>
    <w:p>
      <w:pPr>
        <w:spacing w:before="104" w:line="224" w:lineRule="auto"/>
        <w:rPr>
          <w:rFonts w:hint="eastAsia" w:ascii="黑体" w:hAnsi="黑体" w:eastAsia="黑体" w:cs="黑体"/>
          <w:spacing w:val="8"/>
          <w:sz w:val="32"/>
          <w:szCs w:val="32"/>
        </w:rPr>
        <w:sectPr>
          <w:footerReference r:id="rId12" w:type="default"/>
          <w:footerReference r:id="rId13" w:type="even"/>
          <w:pgSz w:w="16838" w:h="11906" w:orient="landscape"/>
          <w:pgMar w:top="1531" w:right="2098" w:bottom="1531" w:left="1984" w:header="851" w:footer="992" w:gutter="0"/>
          <w:pgNumType w:fmt="numberInDash" w:start="1"/>
          <w:cols w:space="0" w:num="1"/>
          <w:rtlGutter w:val="0"/>
          <w:docGrid w:type="lines" w:linePitch="312" w:charSpace="0"/>
        </w:sectPr>
      </w:pPr>
    </w:p>
    <w:p>
      <w:pPr>
        <w:spacing w:before="104" w:line="224" w:lineRule="auto"/>
        <w:rPr>
          <w:rFonts w:hint="eastAsia" w:ascii="方正小标宋简体" w:eastAsia="黑体"/>
          <w:b/>
          <w:bCs/>
          <w:sz w:val="44"/>
          <w:szCs w:val="44"/>
          <w:lang w:val="en-US"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5</w:t>
      </w:r>
    </w:p>
    <w:p>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w:t>
      </w:r>
      <w:r>
        <w:rPr>
          <w:rFonts w:hint="eastAsia" w:ascii="方正小标宋简体" w:eastAsia="方正小标宋简体"/>
          <w:sz w:val="44"/>
          <w:szCs w:val="44"/>
          <w:lang w:val="en-US" w:eastAsia="zh-Hans"/>
        </w:rPr>
        <w:t>新平彝族傣族自治</w:t>
      </w:r>
      <w:r>
        <w:rPr>
          <w:rFonts w:hint="eastAsia" w:ascii="方正小标宋简体" w:eastAsia="方正小标宋简体"/>
          <w:sz w:val="44"/>
          <w:szCs w:val="44"/>
        </w:rPr>
        <w:t>县烟草制品零售点合理布局规划数动态调整管理制度</w:t>
      </w:r>
    </w:p>
    <w:p>
      <w:pPr>
        <w:numPr>
          <w:ilvl w:val="0"/>
          <w:numId w:val="0"/>
        </w:numPr>
        <w:adjustRightInd w:val="0"/>
        <w:snapToGrid w:val="0"/>
        <w:spacing w:line="336" w:lineRule="auto"/>
        <w:ind w:firstLine="660" w:firstLineChars="200"/>
        <w:jc w:val="both"/>
        <w:rPr>
          <w:rFonts w:ascii="仿宋_GB2312" w:hAnsi="仿宋_GB2312" w:eastAsia="仿宋_GB2312" w:cs="仿宋_GB2312"/>
          <w:kern w:val="28"/>
          <w:sz w:val="32"/>
          <w:szCs w:val="32"/>
        </w:rPr>
      </w:pPr>
      <w:r>
        <w:rPr>
          <w:rFonts w:hint="eastAsia" w:ascii="黑体" w:hAnsi="黑体" w:eastAsia="黑体" w:cs="黑体"/>
          <w:spacing w:val="5"/>
          <w:sz w:val="32"/>
          <w:szCs w:val="32"/>
          <w:lang w:val="en-US" w:eastAsia="zh-CN"/>
        </w:rPr>
        <w:t>第一条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为建立合理布局规划管理动态调整机制，做好规范性文件的动态管理，保证《云南省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合理布局规划》的科学性、合理性、前瞻性，依据《中华人民共和国行政许可法》《中华人民共和国未成年人保护法》《中华人民共和国烟草专卖法》《中华人民共和国烟草专卖法实施条例》《烟草专卖许可证管理办法》《烟草专卖许可证管理</w:t>
      </w:r>
      <w:r>
        <w:rPr>
          <w:rFonts w:hint="eastAsia" w:ascii="仿宋_GB2312" w:hAnsi="仿宋_GB2312" w:eastAsia="仿宋_GB2312" w:cs="仿宋_GB2312"/>
          <w:kern w:val="28"/>
          <w:sz w:val="32"/>
          <w:szCs w:val="32"/>
        </w:rPr>
        <w:t>办法实施细则》等法律法规规章和规范性文件的规定，特制定本制度。</w:t>
      </w:r>
    </w:p>
    <w:p>
      <w:pPr>
        <w:numPr>
          <w:ilvl w:val="0"/>
          <w:numId w:val="0"/>
        </w:numPr>
        <w:adjustRightInd w:val="0"/>
        <w:snapToGrid w:val="0"/>
        <w:spacing w:line="336" w:lineRule="auto"/>
        <w:ind w:firstLine="660" w:firstLineChars="200"/>
        <w:jc w:val="both"/>
        <w:rPr>
          <w:rFonts w:ascii="楷体_GB2312" w:hAnsi="仿宋_GB2312" w:eastAsia="楷体_GB2312" w:cs="仿宋_GB2312"/>
          <w:sz w:val="32"/>
          <w:szCs w:val="32"/>
        </w:rPr>
      </w:pPr>
      <w:r>
        <w:rPr>
          <w:rFonts w:hint="eastAsia" w:ascii="黑体" w:hAnsi="黑体" w:eastAsia="黑体" w:cs="黑体"/>
          <w:spacing w:val="5"/>
          <w:sz w:val="32"/>
          <w:szCs w:val="32"/>
          <w:lang w:val="en-US" w:eastAsia="zh-CN"/>
        </w:rPr>
        <w:t>第二条</w:t>
      </w:r>
      <w:r>
        <w:rPr>
          <w:rFonts w:hint="eastAsia" w:ascii="仿宋_GB2312" w:hAnsi="仿宋_GB2312" w:eastAsia="仿宋_GB2312" w:cs="仿宋_GB2312"/>
          <w:kern w:val="28"/>
          <w:sz w:val="32"/>
          <w:szCs w:val="32"/>
          <w:lang w:val="en-US" w:eastAsia="zh-CN"/>
        </w:rPr>
        <w:t xml:space="preserve">  </w:t>
      </w:r>
      <w:r>
        <w:rPr>
          <w:rFonts w:hint="eastAsia" w:ascii="仿宋_GB2312" w:hAnsi="仿宋_GB2312" w:eastAsia="仿宋_GB2312" w:cs="仿宋_GB2312"/>
          <w:kern w:val="28"/>
          <w:sz w:val="32"/>
          <w:szCs w:val="32"/>
        </w:rPr>
        <w:t>根据《云南省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w:t>
      </w:r>
      <w:r>
        <w:rPr>
          <w:rFonts w:hint="eastAsia" w:ascii="仿宋_GB2312" w:hAnsi="仿宋_GB2312" w:eastAsia="仿宋_GB2312" w:cs="仿宋_GB2312"/>
          <w:kern w:val="28"/>
          <w:sz w:val="32"/>
          <w:szCs w:val="32"/>
        </w:rPr>
        <w:t>烟草制品零售点合理布局规划》，</w:t>
      </w:r>
      <w:r>
        <w:rPr>
          <w:rFonts w:hint="eastAsia" w:ascii="仿宋_GB2312" w:hAnsi="仿宋_GB2312" w:eastAsia="仿宋_GB2312" w:cs="仿宋_GB2312"/>
          <w:kern w:val="28"/>
          <w:sz w:val="32"/>
          <w:szCs w:val="32"/>
          <w:lang w:val="en-US" w:eastAsia="zh-Hans"/>
        </w:rPr>
        <w:t>新平</w:t>
      </w:r>
      <w:r>
        <w:rPr>
          <w:rFonts w:hint="eastAsia" w:ascii="仿宋_GB2312" w:hAnsi="仿宋_GB2312" w:eastAsia="仿宋_GB2312" w:cs="仿宋_GB2312"/>
          <w:kern w:val="28"/>
          <w:sz w:val="32"/>
          <w:szCs w:val="32"/>
        </w:rPr>
        <w:t>县</w:t>
      </w:r>
      <w:r>
        <w:rPr>
          <w:rFonts w:hint="eastAsia" w:ascii="仿宋_GB2312" w:hAnsi="仿宋_GB2312" w:eastAsia="仿宋_GB2312" w:cs="仿宋_GB2312"/>
          <w:sz w:val="32"/>
          <w:szCs w:val="32"/>
        </w:rPr>
        <w:t>烟草专卖局每季度根据本地</w:t>
      </w:r>
      <w:r>
        <w:rPr>
          <w:rFonts w:eastAsia="仿宋_GB2312"/>
          <w:sz w:val="32"/>
          <w:szCs w:val="32"/>
        </w:rPr>
        <w:t>人口数量、交通状况、经济发展水平、居民消费能力、消费购买习惯</w:t>
      </w:r>
      <w:r>
        <w:rPr>
          <w:rFonts w:hint="eastAsia" w:ascii="仿宋_GB2312" w:hAnsi="仿宋_GB2312" w:eastAsia="仿宋_GB2312" w:cs="仿宋_GB2312"/>
          <w:sz w:val="32"/>
          <w:szCs w:val="32"/>
        </w:rPr>
        <w:t>等变化情况，对辖区单元网格零售点合理布局规划数进行动态调整。</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第三条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零售点合理布局规划数动态调整情况应提交云南省</w:t>
      </w:r>
      <w:r>
        <w:rPr>
          <w:rFonts w:hint="eastAsia" w:ascii="仿宋_GB2312" w:hAnsi="仿宋_GB2312" w:eastAsia="仿宋_GB2312" w:cs="仿宋_GB2312"/>
          <w:sz w:val="32"/>
          <w:szCs w:val="32"/>
          <w:lang w:val="en-US" w:eastAsia="zh-Hans"/>
        </w:rPr>
        <w:t>新平</w:t>
      </w:r>
      <w:r>
        <w:rPr>
          <w:rFonts w:hint="eastAsia" w:ascii="仿宋_GB2312" w:hAnsi="仿宋_GB2312" w:eastAsia="仿宋_GB2312" w:cs="仿宋_GB2312"/>
          <w:sz w:val="32"/>
          <w:szCs w:val="32"/>
          <w:lang w:val="en-US" w:eastAsia="zh-CN"/>
        </w:rPr>
        <w:t>彝族傣族自治</w:t>
      </w:r>
      <w:r>
        <w:rPr>
          <w:rFonts w:hint="eastAsia" w:ascii="仿宋_GB2312" w:hAnsi="仿宋_GB2312" w:eastAsia="仿宋_GB2312" w:cs="仿宋_GB2312"/>
          <w:sz w:val="32"/>
          <w:szCs w:val="32"/>
          <w:lang w:val="en-US" w:eastAsia="zh-Hans"/>
        </w:rPr>
        <w:t>县</w:t>
      </w:r>
      <w:r>
        <w:rPr>
          <w:rFonts w:hint="eastAsia" w:ascii="仿宋_GB2312" w:eastAsia="仿宋_GB2312"/>
          <w:sz w:val="32"/>
          <w:szCs w:val="32"/>
        </w:rPr>
        <w:t>烟草专卖局领导班子集体讨论决定。讨论通过的，应在</w:t>
      </w:r>
      <w:r>
        <w:rPr>
          <w:rFonts w:hint="eastAsia" w:ascii="仿宋_GB2312" w:hAnsi="仿宋_GB2312" w:eastAsia="仿宋_GB2312" w:cs="仿宋_GB2312"/>
          <w:sz w:val="32"/>
          <w:szCs w:val="32"/>
        </w:rPr>
        <w:t>五日内通过政府网站、行业网站及政务服务大厅等平台公示《云南省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县烟草制品零售点合理布局公示表》，同时报上一级烟草专卖局备案。</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第四条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零售点合理布局规划数动态调整情况</w:t>
      </w:r>
      <w:r>
        <w:rPr>
          <w:rFonts w:hint="eastAsia" w:ascii="仿宋_GB2312" w:hAnsi="仿宋_GB2312" w:eastAsia="仿宋_GB2312" w:cs="仿宋_GB2312"/>
          <w:kern w:val="28"/>
          <w:sz w:val="32"/>
          <w:szCs w:val="32"/>
        </w:rPr>
        <w:t>于公示之日起三日后开始实施</w:t>
      </w:r>
      <w:r>
        <w:rPr>
          <w:rFonts w:hint="eastAsia" w:ascii="仿宋_GB2312" w:hAnsi="仿宋_GB2312" w:eastAsia="仿宋_GB2312" w:cs="仿宋_GB2312"/>
          <w:sz w:val="32"/>
          <w:szCs w:val="32"/>
        </w:rPr>
        <w:t>。</w:t>
      </w:r>
    </w:p>
    <w:p>
      <w:pPr>
        <w:numPr>
          <w:ilvl w:val="0"/>
          <w:numId w:val="0"/>
        </w:numPr>
        <w:adjustRightInd w:val="0"/>
        <w:snapToGrid w:val="0"/>
        <w:spacing w:line="336" w:lineRule="auto"/>
        <w:ind w:firstLine="660" w:firstLineChars="200"/>
        <w:jc w:val="both"/>
        <w:rPr>
          <w:rFonts w:ascii="楷体" w:hAnsi="楷体" w:eastAsia="楷体" w:cs="楷体"/>
          <w:sz w:val="32"/>
          <w:szCs w:val="32"/>
        </w:rPr>
      </w:pPr>
      <w:r>
        <w:rPr>
          <w:rFonts w:hint="eastAsia" w:ascii="黑体" w:hAnsi="黑体" w:eastAsia="黑体" w:cs="黑体"/>
          <w:spacing w:val="5"/>
          <w:sz w:val="32"/>
          <w:szCs w:val="32"/>
          <w:lang w:val="en-US" w:eastAsia="zh-CN"/>
        </w:rPr>
        <w:t>第五条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云南省</w:t>
      </w:r>
      <w:r>
        <w:rPr>
          <w:rFonts w:hint="eastAsia" w:ascii="仿宋_GB2312" w:hAnsi="仿宋_GB2312" w:eastAsia="仿宋_GB2312" w:cs="仿宋_GB2312"/>
          <w:sz w:val="32"/>
          <w:szCs w:val="32"/>
          <w:lang w:val="en-US" w:eastAsia="zh-Hans"/>
        </w:rPr>
        <w:t>新平</w:t>
      </w:r>
      <w:r>
        <w:rPr>
          <w:rFonts w:hint="eastAsia" w:ascii="仿宋_GB2312" w:hAnsi="仿宋_GB2312" w:eastAsia="仿宋_GB2312" w:cs="仿宋_GB2312"/>
          <w:sz w:val="32"/>
          <w:szCs w:val="32"/>
          <w:lang w:val="en-US" w:eastAsia="zh-CN"/>
        </w:rPr>
        <w:t>彝族傣族自治</w:t>
      </w:r>
      <w:r>
        <w:rPr>
          <w:rFonts w:hint="eastAsia" w:ascii="仿宋_GB2312" w:hAnsi="仿宋_GB2312" w:eastAsia="仿宋_GB2312" w:cs="仿宋_GB2312"/>
          <w:sz w:val="32"/>
          <w:szCs w:val="32"/>
          <w:lang w:val="en-US" w:eastAsia="zh-Hans"/>
        </w:rPr>
        <w:t>县</w:t>
      </w:r>
      <w:r>
        <w:rPr>
          <w:rFonts w:hint="eastAsia" w:ascii="仿宋_GB2312" w:hAnsi="仿宋_GB2312" w:eastAsia="仿宋_GB2312" w:cs="仿宋_GB2312"/>
          <w:sz w:val="32"/>
          <w:szCs w:val="32"/>
        </w:rPr>
        <w:t>烟草专卖局每年年底向上一级烟草专卖局报告本年度烟草制品零售点合理布局规划数动态调整工作执行情况。</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第六条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第七条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本制度由云南省</w:t>
      </w:r>
      <w:r>
        <w:rPr>
          <w:rFonts w:hint="eastAsia" w:ascii="仿宋_GB2312" w:hAnsi="仿宋_GB2312" w:eastAsia="仿宋_GB2312" w:cs="仿宋_GB2312"/>
          <w:sz w:val="32"/>
          <w:szCs w:val="32"/>
          <w:lang w:val="en-US" w:eastAsia="zh-Hans"/>
        </w:rPr>
        <w:t>新平</w:t>
      </w:r>
      <w:r>
        <w:rPr>
          <w:rFonts w:hint="eastAsia" w:ascii="仿宋_GB2312" w:hAnsi="仿宋_GB2312" w:eastAsia="仿宋_GB2312" w:cs="仿宋_GB2312"/>
          <w:sz w:val="32"/>
          <w:szCs w:val="32"/>
          <w:lang w:val="en-US" w:eastAsia="zh-CN"/>
        </w:rPr>
        <w:t>彝族傣族自治</w:t>
      </w:r>
      <w:r>
        <w:rPr>
          <w:rFonts w:hint="eastAsia" w:ascii="仿宋_GB2312" w:hAnsi="仿宋_GB2312" w:eastAsia="仿宋_GB2312" w:cs="仿宋_GB2312"/>
          <w:sz w:val="32"/>
          <w:szCs w:val="32"/>
          <w:lang w:val="en-US" w:eastAsia="zh-Hans"/>
        </w:rPr>
        <w:t>县</w:t>
      </w:r>
      <w:r>
        <w:rPr>
          <w:rFonts w:hint="eastAsia" w:ascii="仿宋_GB2312" w:hAnsi="仿宋_GB2312" w:eastAsia="仿宋_GB2312" w:cs="仿宋_GB2312"/>
          <w:sz w:val="32"/>
          <w:szCs w:val="32"/>
        </w:rPr>
        <w:t>烟草专卖局负责解释。</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第八条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本制度自《云南省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县烟草制品零售点合理布局规划》实施之日起同时施行。</w:t>
      </w:r>
    </w:p>
    <w:p>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sectPr>
          <w:pgSz w:w="11906" w:h="16838"/>
          <w:pgMar w:top="2098" w:right="1531" w:bottom="1984" w:left="1531" w:header="851" w:footer="992" w:gutter="0"/>
          <w:pgNumType w:fmt="numberInDash" w:start="1"/>
          <w:cols w:space="0" w:num="1"/>
          <w:rtlGutter w:val="0"/>
          <w:docGrid w:type="lines" w:linePitch="312" w:charSpace="0"/>
        </w:sectPr>
      </w:pPr>
    </w:p>
    <w:p>
      <w:pPr>
        <w:spacing w:before="104" w:line="224" w:lineRule="auto"/>
        <w:rPr>
          <w:rFonts w:hint="eastAsia" w:ascii="黑体" w:hAnsi="黑体" w:eastAsia="黑体" w:cs="黑体"/>
          <w:spacing w:val="8"/>
          <w:sz w:val="32"/>
          <w:szCs w:val="32"/>
          <w:lang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6</w:t>
      </w:r>
    </w:p>
    <w:p>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w:t>
      </w:r>
      <w:r>
        <w:rPr>
          <w:rFonts w:hint="eastAsia" w:ascii="方正小标宋简体" w:eastAsia="方正小标宋简体"/>
          <w:sz w:val="44"/>
          <w:szCs w:val="44"/>
          <w:lang w:val="en-US" w:eastAsia="zh-Hans"/>
        </w:rPr>
        <w:t>新平彝族傣族自治</w:t>
      </w:r>
      <w:r>
        <w:rPr>
          <w:rFonts w:hint="eastAsia" w:ascii="方正小标宋简体" w:eastAsia="方正小标宋简体"/>
          <w:sz w:val="44"/>
          <w:szCs w:val="44"/>
        </w:rPr>
        <w:t>县烟草制品</w:t>
      </w:r>
    </w:p>
    <w:p>
      <w:pPr>
        <w:snapToGrid w:val="0"/>
        <w:spacing w:line="317" w:lineRule="auto"/>
        <w:jc w:val="center"/>
        <w:rPr>
          <w:rFonts w:ascii="仿宋_GB2312" w:hAnsi="仿宋_GB2312" w:eastAsia="仿宋_GB2312" w:cs="仿宋_GB2312"/>
          <w:sz w:val="32"/>
          <w:szCs w:val="32"/>
        </w:rPr>
      </w:pPr>
      <w:r>
        <w:rPr>
          <w:rFonts w:hint="eastAsia" w:ascii="方正小标宋简体" w:eastAsia="方正小标宋简体"/>
          <w:sz w:val="44"/>
          <w:szCs w:val="44"/>
        </w:rPr>
        <w:t>零售点排队轮候制度</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第一条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为坚持公平、公正、公开原则，规范实施《云南省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县烟草制品零售点合理布局规划》，根据《中华人民共和国行政许可法》《烟草专卖许可证管理办法》《烟草专卖许可证管理办法实施细则》等法律法规规章和规范性文件的规定，结合</w:t>
      </w:r>
      <w:r>
        <w:rPr>
          <w:rFonts w:hint="eastAsia" w:ascii="仿宋_GB2312" w:hAnsi="仿宋_GB2312" w:eastAsia="仿宋_GB2312" w:cs="仿宋_GB2312"/>
          <w:sz w:val="32"/>
          <w:szCs w:val="32"/>
          <w:lang w:val="en-US" w:eastAsia="zh-Hans"/>
        </w:rPr>
        <w:t>新平</w:t>
      </w:r>
      <w:r>
        <w:rPr>
          <w:rFonts w:hint="eastAsia" w:ascii="仿宋_GB2312" w:hAnsi="仿宋_GB2312" w:eastAsia="仿宋_GB2312" w:cs="仿宋_GB2312"/>
          <w:sz w:val="32"/>
          <w:szCs w:val="32"/>
          <w:lang w:val="en-US" w:eastAsia="zh-CN"/>
        </w:rPr>
        <w:t>彝族傣族自治</w:t>
      </w:r>
      <w:r>
        <w:rPr>
          <w:rFonts w:hint="eastAsia" w:ascii="仿宋_GB2312" w:hAnsi="仿宋_GB2312" w:eastAsia="仿宋_GB2312" w:cs="仿宋_GB2312"/>
          <w:sz w:val="32"/>
          <w:szCs w:val="32"/>
        </w:rPr>
        <w:t>县实际，制定本制度。</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第二条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本制度适用于</w:t>
      </w:r>
      <w:r>
        <w:rPr>
          <w:rFonts w:hint="eastAsia" w:ascii="仿宋_GB2312" w:hAnsi="仿宋_GB2312" w:eastAsia="仿宋_GB2312" w:cs="仿宋_GB2312"/>
          <w:sz w:val="32"/>
          <w:szCs w:val="32"/>
          <w:lang w:val="en-US" w:eastAsia="zh-Hans"/>
        </w:rPr>
        <w:t>新平</w:t>
      </w:r>
      <w:r>
        <w:rPr>
          <w:rFonts w:hint="eastAsia" w:ascii="仿宋_GB2312" w:hAnsi="仿宋_GB2312" w:eastAsia="仿宋_GB2312" w:cs="仿宋_GB2312"/>
          <w:sz w:val="32"/>
          <w:szCs w:val="32"/>
          <w:lang w:val="en-US" w:eastAsia="zh-CN"/>
        </w:rPr>
        <w:t>彝族傣族自治</w:t>
      </w:r>
      <w:r>
        <w:rPr>
          <w:rFonts w:hint="eastAsia" w:ascii="仿宋_GB2312" w:hAnsi="仿宋_GB2312" w:eastAsia="仿宋_GB2312" w:cs="仿宋_GB2312"/>
          <w:sz w:val="32"/>
          <w:szCs w:val="32"/>
        </w:rPr>
        <w:t>县行政辖区烟草制品零售点新办申请排队轮候管理。</w:t>
      </w:r>
    </w:p>
    <w:p>
      <w:pPr>
        <w:numPr>
          <w:ilvl w:val="0"/>
          <w:numId w:val="0"/>
        </w:numPr>
        <w:adjustRightInd w:val="0"/>
        <w:snapToGrid w:val="0"/>
        <w:spacing w:line="336" w:lineRule="auto"/>
        <w:ind w:firstLine="660" w:firstLineChars="200"/>
        <w:jc w:val="both"/>
        <w:rPr>
          <w:rFonts w:ascii="黑体" w:hAnsi="黑体" w:eastAsia="黑体" w:cs="黑体"/>
          <w:sz w:val="32"/>
          <w:szCs w:val="32"/>
        </w:rPr>
      </w:pPr>
      <w:r>
        <w:rPr>
          <w:rFonts w:hint="eastAsia" w:ascii="黑体" w:hAnsi="黑体" w:eastAsia="黑体" w:cs="黑体"/>
          <w:spacing w:val="5"/>
          <w:sz w:val="32"/>
          <w:szCs w:val="32"/>
          <w:lang w:val="en-US" w:eastAsia="zh-CN"/>
        </w:rPr>
        <w:t>第三条</w:t>
      </w:r>
      <w:r>
        <w:rPr>
          <w:rFonts w:hint="eastAsia" w:ascii="仿宋_GB2312" w:hAnsi="仿宋_GB2312" w:eastAsia="仿宋_GB2312" w:cs="仿宋_GB2312"/>
          <w:kern w:val="28"/>
          <w:sz w:val="32"/>
          <w:szCs w:val="32"/>
          <w:lang w:val="en-US" w:eastAsia="zh-CN"/>
        </w:rPr>
        <w:t xml:space="preserve">  </w:t>
      </w:r>
      <w:r>
        <w:rPr>
          <w:rFonts w:hint="eastAsia" w:ascii="仿宋_GB2312" w:hAnsi="仿宋_GB2312" w:eastAsia="仿宋_GB2312" w:cs="仿宋_GB2312"/>
          <w:kern w:val="28"/>
          <w:sz w:val="32"/>
          <w:szCs w:val="32"/>
        </w:rPr>
        <w:t>本县</w:t>
      </w:r>
      <w:r>
        <w:rPr>
          <w:rFonts w:hint="eastAsia" w:ascii="仿宋_GB2312" w:hAnsi="仿宋_GB2312" w:eastAsia="仿宋_GB2312" w:cs="仿宋_GB2312"/>
          <w:sz w:val="32"/>
          <w:szCs w:val="32"/>
        </w:rPr>
        <w:t>行政辖区</w:t>
      </w:r>
      <w:r>
        <w:rPr>
          <w:rFonts w:hint="eastAsia" w:ascii="仿宋_GB2312" w:hAnsi="仿宋_GB2312" w:eastAsia="仿宋_GB2312" w:cs="仿宋_GB2312"/>
          <w:kern w:val="28"/>
          <w:sz w:val="32"/>
          <w:szCs w:val="32"/>
          <w:lang w:eastAsia="zh-CN"/>
        </w:rPr>
        <w:t>单元网格</w:t>
      </w:r>
      <w:r>
        <w:rPr>
          <w:rFonts w:hint="eastAsia" w:ascii="仿宋_GB2312" w:hAnsi="仿宋_GB2312" w:eastAsia="仿宋_GB2312" w:cs="仿宋_GB2312"/>
          <w:kern w:val="28"/>
          <w:sz w:val="32"/>
          <w:szCs w:val="32"/>
        </w:rPr>
        <w:t>内的零售点实际数量大于或等于</w:t>
      </w:r>
      <w:r>
        <w:rPr>
          <w:rFonts w:hint="eastAsia" w:ascii="仿宋_GB2312" w:hAnsi="仿宋_GB2312" w:eastAsia="仿宋_GB2312" w:cs="仿宋_GB2312"/>
          <w:sz w:val="32"/>
          <w:szCs w:val="32"/>
        </w:rPr>
        <w:t>合理容量</w:t>
      </w:r>
      <w:r>
        <w:rPr>
          <w:rFonts w:hint="eastAsia" w:ascii="仿宋_GB2312" w:hAnsi="仿宋_GB2312" w:eastAsia="仿宋_GB2312" w:cs="仿宋_GB2312"/>
          <w:kern w:val="28"/>
          <w:sz w:val="32"/>
          <w:szCs w:val="32"/>
        </w:rPr>
        <w:t>时不再设新的零售点。新办申请人应按本制度首先提出排队轮候申请，直至该</w:t>
      </w:r>
      <w:r>
        <w:rPr>
          <w:rFonts w:hint="eastAsia" w:ascii="仿宋_GB2312" w:hAnsi="仿宋_GB2312" w:eastAsia="仿宋_GB2312" w:cs="仿宋_GB2312"/>
          <w:kern w:val="28"/>
          <w:sz w:val="32"/>
          <w:szCs w:val="32"/>
          <w:lang w:eastAsia="zh-CN"/>
        </w:rPr>
        <w:t>单元网格</w:t>
      </w:r>
      <w:r>
        <w:rPr>
          <w:rFonts w:hint="eastAsia" w:ascii="仿宋_GB2312" w:hAnsi="仿宋_GB2312" w:eastAsia="仿宋_GB2312" w:cs="仿宋_GB2312"/>
          <w:kern w:val="28"/>
          <w:sz w:val="32"/>
          <w:szCs w:val="32"/>
        </w:rPr>
        <w:t>内的零售点实际数量小于</w:t>
      </w:r>
      <w:r>
        <w:rPr>
          <w:rFonts w:hint="eastAsia" w:ascii="仿宋_GB2312" w:hAnsi="仿宋_GB2312" w:eastAsia="仿宋_GB2312" w:cs="仿宋_GB2312"/>
          <w:sz w:val="32"/>
          <w:szCs w:val="32"/>
        </w:rPr>
        <w:t>合理容量时，再按照排队轮候的顺序依次提交新办申请。</w:t>
      </w:r>
    </w:p>
    <w:p>
      <w:pPr>
        <w:numPr>
          <w:ilvl w:val="0"/>
          <w:numId w:val="0"/>
        </w:numPr>
        <w:adjustRightInd w:val="0"/>
        <w:snapToGrid w:val="0"/>
        <w:spacing w:line="336" w:lineRule="auto"/>
        <w:ind w:firstLine="660" w:firstLineChars="200"/>
        <w:jc w:val="both"/>
        <w:rPr>
          <w:rFonts w:ascii="楷体" w:hAnsi="楷体" w:eastAsia="楷体" w:cs="楷体"/>
          <w:sz w:val="32"/>
          <w:szCs w:val="32"/>
        </w:rPr>
      </w:pPr>
      <w:r>
        <w:rPr>
          <w:rFonts w:hint="eastAsia" w:ascii="黑体" w:hAnsi="黑体" w:eastAsia="黑体" w:cs="黑体"/>
          <w:spacing w:val="5"/>
          <w:sz w:val="32"/>
          <w:szCs w:val="32"/>
          <w:lang w:val="en-US" w:eastAsia="zh-CN"/>
        </w:rPr>
        <w:t>第四条</w:t>
      </w:r>
      <w:r>
        <w:rPr>
          <w:rFonts w:hint="eastAsia" w:ascii="仿宋_GB2312" w:hAnsi="黑体" w:eastAsia="仿宋_GB2312"/>
          <w:sz w:val="32"/>
          <w:szCs w:val="32"/>
          <w:lang w:val="en-US" w:eastAsia="zh-CN"/>
        </w:rPr>
        <w:t xml:space="preserve">  </w:t>
      </w:r>
      <w:r>
        <w:rPr>
          <w:rFonts w:hint="eastAsia" w:ascii="仿宋_GB2312" w:hAnsi="黑体" w:eastAsia="仿宋_GB2312"/>
          <w:sz w:val="32"/>
          <w:szCs w:val="32"/>
        </w:rPr>
        <w:t>在本制度首次施行时，根据</w:t>
      </w:r>
      <w:r>
        <w:rPr>
          <w:rFonts w:hint="eastAsia" w:ascii="仿宋_GB2312" w:hAnsi="仿宋_GB2312" w:eastAsia="仿宋_GB2312" w:cs="仿宋_GB2312"/>
          <w:kern w:val="28"/>
          <w:sz w:val="32"/>
          <w:szCs w:val="32"/>
        </w:rPr>
        <w:t>本县</w:t>
      </w:r>
      <w:r>
        <w:rPr>
          <w:rFonts w:hint="eastAsia" w:ascii="仿宋_GB2312" w:hAnsi="仿宋_GB2312" w:eastAsia="仿宋_GB2312" w:cs="仿宋_GB2312"/>
          <w:sz w:val="32"/>
          <w:szCs w:val="32"/>
        </w:rPr>
        <w:t>行政辖区</w:t>
      </w:r>
      <w:r>
        <w:rPr>
          <w:rFonts w:hint="eastAsia" w:ascii="仿宋_GB2312" w:hAnsi="仿宋_GB2312" w:eastAsia="仿宋_GB2312" w:cs="仿宋_GB2312"/>
          <w:kern w:val="28"/>
          <w:sz w:val="32"/>
          <w:szCs w:val="32"/>
          <w:lang w:eastAsia="zh-CN"/>
        </w:rPr>
        <w:t>单元网格</w:t>
      </w:r>
      <w:r>
        <w:rPr>
          <w:rFonts w:hint="eastAsia" w:ascii="仿宋_GB2312" w:hAnsi="仿宋_GB2312" w:eastAsia="仿宋_GB2312" w:cs="仿宋_GB2312"/>
          <w:kern w:val="28"/>
          <w:sz w:val="32"/>
          <w:szCs w:val="32"/>
        </w:rPr>
        <w:t>的合理容量公示情况，对符合排队轮候情形的</w:t>
      </w:r>
      <w:r>
        <w:rPr>
          <w:rFonts w:hint="eastAsia" w:ascii="仿宋_GB2312" w:hAnsi="仿宋_GB2312" w:eastAsia="仿宋_GB2312" w:cs="仿宋_GB2312"/>
          <w:kern w:val="28"/>
          <w:sz w:val="32"/>
          <w:szCs w:val="32"/>
          <w:lang w:eastAsia="zh-CN"/>
        </w:rPr>
        <w:t>单元网格</w:t>
      </w:r>
      <w:r>
        <w:rPr>
          <w:rFonts w:hint="eastAsia" w:ascii="仿宋_GB2312" w:hAnsi="仿宋_GB2312" w:eastAsia="仿宋_GB2312" w:cs="仿宋_GB2312"/>
          <w:kern w:val="28"/>
          <w:sz w:val="32"/>
          <w:szCs w:val="32"/>
        </w:rPr>
        <w:t>，发证机关采取集中抽签方式确定该</w:t>
      </w:r>
      <w:r>
        <w:rPr>
          <w:rFonts w:hint="eastAsia" w:ascii="仿宋_GB2312" w:hAnsi="仿宋_GB2312" w:eastAsia="仿宋_GB2312" w:cs="仿宋_GB2312"/>
          <w:kern w:val="28"/>
          <w:sz w:val="32"/>
          <w:szCs w:val="32"/>
          <w:lang w:eastAsia="zh-CN"/>
        </w:rPr>
        <w:t>单元网格</w:t>
      </w:r>
      <w:r>
        <w:rPr>
          <w:rFonts w:hint="eastAsia" w:ascii="仿宋_GB2312" w:hAnsi="仿宋_GB2312" w:eastAsia="仿宋_GB2312" w:cs="仿宋_GB2312"/>
          <w:kern w:val="28"/>
          <w:sz w:val="32"/>
          <w:szCs w:val="32"/>
        </w:rPr>
        <w:t>首次排队轮候顺序。</w:t>
      </w:r>
    </w:p>
    <w:p>
      <w:pPr>
        <w:adjustRightInd w:val="0"/>
        <w:snapToGrid w:val="0"/>
        <w:spacing w:line="336" w:lineRule="auto"/>
        <w:ind w:firstLine="640" w:firstLineChars="200"/>
        <w:jc w:val="both"/>
        <w:rPr>
          <w:rFonts w:ascii="楷体" w:hAnsi="楷体" w:eastAsia="楷体" w:cs="楷体"/>
          <w:sz w:val="32"/>
          <w:szCs w:val="32"/>
        </w:rPr>
      </w:pPr>
      <w:r>
        <w:rPr>
          <w:rFonts w:hint="eastAsia" w:ascii="仿宋_GB2312" w:hAnsi="黑体" w:eastAsia="仿宋_GB2312"/>
          <w:sz w:val="32"/>
          <w:szCs w:val="32"/>
        </w:rPr>
        <w:t>在本制度首次施行前，已执行排队轮候的，按原排队轮候顺序由</w:t>
      </w:r>
      <w:r>
        <w:rPr>
          <w:rFonts w:hint="eastAsia" w:ascii="仿宋_GB2312" w:hAnsi="仿宋_GB2312" w:eastAsia="仿宋_GB2312" w:cs="仿宋_GB2312"/>
          <w:kern w:val="28"/>
          <w:sz w:val="32"/>
          <w:szCs w:val="32"/>
        </w:rPr>
        <w:t>发证机关录入排队轮候系统。</w:t>
      </w:r>
    </w:p>
    <w:p>
      <w:pPr>
        <w:numPr>
          <w:ilvl w:val="0"/>
          <w:numId w:val="0"/>
        </w:numPr>
        <w:adjustRightInd w:val="0"/>
        <w:snapToGrid w:val="0"/>
        <w:spacing w:line="336" w:lineRule="auto"/>
        <w:ind w:firstLine="660" w:firstLineChars="200"/>
        <w:jc w:val="both"/>
        <w:rPr>
          <w:rFonts w:ascii="楷体" w:hAnsi="楷体" w:eastAsia="楷体" w:cs="楷体"/>
          <w:sz w:val="32"/>
          <w:szCs w:val="32"/>
        </w:rPr>
      </w:pPr>
      <w:r>
        <w:rPr>
          <w:rFonts w:hint="eastAsia" w:ascii="黑体" w:hAnsi="黑体" w:eastAsia="黑体" w:cs="黑体"/>
          <w:spacing w:val="5"/>
          <w:sz w:val="32"/>
          <w:szCs w:val="32"/>
          <w:lang w:val="en-US" w:eastAsia="zh-CN"/>
        </w:rPr>
        <w:t>第五条</w:t>
      </w:r>
      <w:r>
        <w:rPr>
          <w:rFonts w:hint="eastAsia" w:ascii="仿宋_GB2312" w:hAnsi="仿宋_GB2312" w:eastAsia="仿宋_GB2312" w:cs="仿宋_GB2312"/>
          <w:kern w:val="28"/>
          <w:sz w:val="32"/>
          <w:szCs w:val="32"/>
          <w:lang w:val="en-US" w:eastAsia="zh-CN"/>
        </w:rPr>
        <w:t xml:space="preserve">  </w:t>
      </w:r>
      <w:r>
        <w:rPr>
          <w:rFonts w:hint="eastAsia" w:ascii="仿宋_GB2312" w:hAnsi="仿宋_GB2312" w:eastAsia="仿宋_GB2312" w:cs="仿宋_GB2312"/>
          <w:kern w:val="28"/>
          <w:sz w:val="32"/>
          <w:szCs w:val="32"/>
        </w:rPr>
        <w:t>集中抽签按照“提前申请—集中公证抽签—公示抽签结果”的程序进行。自本制度实施之日起五个工作日内，对外发布参与集中抽签的报名地点、时间和方式；自本制度实施之日起十个工作日内，对外发布集中公证抽签的地点、时间和方案；自本制度实施之日起十五个工作日内，完成集中公证抽签。</w:t>
      </w:r>
    </w:p>
    <w:p>
      <w:pPr>
        <w:numPr>
          <w:ilvl w:val="0"/>
          <w:numId w:val="0"/>
        </w:numPr>
        <w:adjustRightInd w:val="0"/>
        <w:snapToGrid w:val="0"/>
        <w:spacing w:line="336" w:lineRule="auto"/>
        <w:ind w:firstLine="640" w:firstLineChars="200"/>
        <w:jc w:val="both"/>
        <w:rPr>
          <w:rFonts w:ascii="黑体" w:hAnsi="黑体" w:eastAsia="黑体" w:cs="黑体"/>
          <w:sz w:val="32"/>
          <w:szCs w:val="32"/>
        </w:rPr>
      </w:pPr>
      <w:r>
        <w:rPr>
          <w:rFonts w:hint="eastAsia" w:ascii="仿宋_GB2312" w:hAnsi="仿宋_GB2312" w:eastAsia="仿宋_GB2312" w:cs="仿宋_GB2312"/>
          <w:kern w:val="28"/>
          <w:sz w:val="32"/>
          <w:szCs w:val="32"/>
        </w:rPr>
        <w:t>集中公证抽签现场按照对外发布方案确定</w:t>
      </w:r>
      <w:r>
        <w:rPr>
          <w:rFonts w:hint="eastAsia" w:ascii="仿宋_GB2312" w:hAnsi="仿宋_GB2312" w:eastAsia="仿宋_GB2312" w:cs="仿宋_GB2312"/>
          <w:kern w:val="28"/>
          <w:sz w:val="32"/>
          <w:szCs w:val="32"/>
          <w:lang w:eastAsia="zh-CN"/>
        </w:rPr>
        <w:t>单元网格</w:t>
      </w:r>
      <w:r>
        <w:rPr>
          <w:rFonts w:hint="eastAsia" w:ascii="仿宋_GB2312" w:hAnsi="仿宋_GB2312" w:eastAsia="仿宋_GB2312" w:cs="仿宋_GB2312"/>
          <w:kern w:val="28"/>
          <w:sz w:val="32"/>
          <w:szCs w:val="32"/>
        </w:rPr>
        <w:t>首次排队轮候顺序，并在完成集中公证抽签后二个工作日内公示。</w:t>
      </w:r>
    </w:p>
    <w:p>
      <w:pPr>
        <w:numPr>
          <w:ilvl w:val="0"/>
          <w:numId w:val="0"/>
        </w:numPr>
        <w:adjustRightInd w:val="0"/>
        <w:snapToGrid w:val="0"/>
        <w:spacing w:line="336" w:lineRule="auto"/>
        <w:ind w:firstLine="660" w:firstLineChars="200"/>
        <w:jc w:val="both"/>
        <w:rPr>
          <w:rFonts w:ascii="楷体" w:hAnsi="楷体" w:eastAsia="楷体" w:cs="楷体"/>
          <w:sz w:val="32"/>
          <w:szCs w:val="32"/>
        </w:rPr>
      </w:pPr>
      <w:r>
        <w:rPr>
          <w:rFonts w:hint="eastAsia" w:ascii="黑体" w:hAnsi="黑体" w:eastAsia="黑体" w:cs="黑体"/>
          <w:spacing w:val="5"/>
          <w:sz w:val="32"/>
          <w:szCs w:val="32"/>
          <w:lang w:val="en-US" w:eastAsia="zh-CN"/>
        </w:rPr>
        <w:t>第六条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零售点排队轮候采取</w:t>
      </w:r>
      <w:r>
        <w:rPr>
          <w:rFonts w:hint="eastAsia" w:ascii="仿宋_GB2312" w:hAnsi="仿宋_GB2312" w:eastAsia="仿宋_GB2312" w:cs="仿宋_GB2312"/>
          <w:sz w:val="32"/>
          <w:szCs w:val="32"/>
          <w:lang w:eastAsia="zh-CN"/>
        </w:rPr>
        <w:t>单元网格</w:t>
      </w:r>
      <w:r>
        <w:rPr>
          <w:rFonts w:hint="eastAsia" w:ascii="仿宋_GB2312" w:hAnsi="仿宋_GB2312" w:eastAsia="仿宋_GB2312" w:cs="仿宋_GB2312"/>
          <w:sz w:val="32"/>
          <w:szCs w:val="32"/>
        </w:rPr>
        <w:t>管理。自愿加入排队轮候的申请人，应线上填写并提交《云南省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县烟草制品零售点排队轮候申请表》（详见附表）。申请人在填报信息时应准确、真实。</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第七条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系统根据申请人线上提交时间，自动生成排队轮候顺序，并由系统自动推送告知申请人单元网格内当前排队轮候顺序号。</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第八条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发证机关应公开排队轮候情况，并接受公众监督。申请人可通过线上、线下等方式查询排队轮候情况。</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第九条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当单元网格内可新增零售点时，由发证机关按照顺序号和申请表约定的联系方式在五个工作日内依次通知申请人提交新办申请。</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第十条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到号办理时，申请人提交的办证申请信息应与排队轮候登记信息一致。信息不一致的，申请人需重新登记排队轮候。</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第十一条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云南省新平彝族傣族自治</w:t>
      </w:r>
      <w:r>
        <w:rPr>
          <w:rFonts w:hint="eastAsia" w:ascii="仿宋_GB2312" w:hAnsi="仿宋_GB2312" w:eastAsia="仿宋_GB2312" w:cs="仿宋_GB2312"/>
          <w:sz w:val="32"/>
          <w:szCs w:val="32"/>
        </w:rPr>
        <w:t>县烟草专卖局每年年底向上一级烟草专卖局报告本年度烟草制品零售点排队轮候管理工作情况。</w:t>
      </w:r>
    </w:p>
    <w:p>
      <w:pPr>
        <w:numPr>
          <w:ilvl w:val="0"/>
          <w:numId w:val="0"/>
        </w:numPr>
        <w:adjustRightInd w:val="0"/>
        <w:snapToGrid w:val="0"/>
        <w:spacing w:line="336" w:lineRule="auto"/>
        <w:ind w:firstLine="660" w:firstLineChars="200"/>
        <w:jc w:val="both"/>
        <w:rPr>
          <w:rFonts w:ascii="黑体" w:hAnsi="黑体" w:eastAsia="黑体" w:cs="黑体"/>
          <w:sz w:val="32"/>
          <w:szCs w:val="32"/>
        </w:rPr>
      </w:pPr>
      <w:r>
        <w:rPr>
          <w:rFonts w:hint="eastAsia" w:ascii="黑体" w:hAnsi="黑体" w:eastAsia="黑体" w:cs="黑体"/>
          <w:spacing w:val="5"/>
          <w:sz w:val="32"/>
          <w:szCs w:val="32"/>
          <w:lang w:val="en-US" w:eastAsia="zh-CN"/>
        </w:rPr>
        <w:t>第十二条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发证机关接收和办理排队轮候业务，不得收取任何费用。</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第十三条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第十四条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本制度由云南省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县烟草专卖局负责解释。</w:t>
      </w:r>
    </w:p>
    <w:p>
      <w:pPr>
        <w:numPr>
          <w:ilvl w:val="0"/>
          <w:numId w:val="0"/>
        </w:numPr>
        <w:adjustRightInd w:val="0"/>
        <w:snapToGrid w:val="0"/>
        <w:spacing w:line="336" w:lineRule="auto"/>
        <w:ind w:firstLine="660" w:firstLineChars="200"/>
        <w:jc w:val="both"/>
        <w:rPr>
          <w:rFonts w:ascii="楷体" w:hAnsi="楷体" w:eastAsia="楷体" w:cs="楷体"/>
          <w:sz w:val="32"/>
          <w:szCs w:val="32"/>
        </w:rPr>
      </w:pPr>
      <w:r>
        <w:rPr>
          <w:rFonts w:hint="eastAsia" w:ascii="黑体" w:hAnsi="黑体" w:eastAsia="黑体" w:cs="黑体"/>
          <w:spacing w:val="5"/>
          <w:sz w:val="32"/>
          <w:szCs w:val="32"/>
          <w:lang w:val="en-US" w:eastAsia="zh-CN"/>
        </w:rPr>
        <w:t>第十五条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本制度自《云南省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县烟草制品零售点合理布局规划》实施之日起同时施行。</w:t>
      </w:r>
    </w:p>
    <w:p>
      <w:pPr>
        <w:adjustRightInd w:val="0"/>
        <w:snapToGrid w:val="0"/>
        <w:spacing w:line="336" w:lineRule="auto"/>
        <w:ind w:left="402"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附表：云南省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县烟草制品零售点排队轮候申请表</w:t>
      </w:r>
    </w:p>
    <w:p>
      <w:pPr>
        <w:adjustRightInd w:val="0"/>
        <w:snapToGrid w:val="0"/>
        <w:spacing w:line="336" w:lineRule="auto"/>
        <w:ind w:left="402" w:firstLine="640" w:firstLineChars="200"/>
        <w:jc w:val="both"/>
        <w:rPr>
          <w:rFonts w:hint="eastAsia" w:ascii="仿宋_GB2312" w:hAnsi="仿宋_GB2312" w:eastAsia="仿宋_GB2312" w:cs="仿宋_GB2312"/>
          <w:sz w:val="32"/>
          <w:szCs w:val="32"/>
        </w:rPr>
      </w:pPr>
    </w:p>
    <w:p>
      <w:pPr>
        <w:adjustRightInd w:val="0"/>
        <w:snapToGrid w:val="0"/>
        <w:spacing w:line="336" w:lineRule="auto"/>
        <w:ind w:left="402" w:firstLine="640" w:firstLineChars="200"/>
        <w:jc w:val="both"/>
        <w:rPr>
          <w:rFonts w:hint="eastAsia" w:ascii="仿宋_GB2312" w:hAnsi="仿宋_GB2312" w:eastAsia="仿宋_GB2312" w:cs="仿宋_GB2312"/>
          <w:sz w:val="32"/>
          <w:szCs w:val="32"/>
        </w:rPr>
      </w:pPr>
    </w:p>
    <w:p>
      <w:pPr>
        <w:spacing w:line="360" w:lineRule="auto"/>
        <w:rPr>
          <w:rFonts w:hint="eastAsia" w:ascii="黑体" w:hAnsi="黑体" w:eastAsia="黑体" w:cs="黑体"/>
          <w:sz w:val="32"/>
          <w:szCs w:val="32"/>
        </w:rPr>
      </w:pPr>
    </w:p>
    <w:p>
      <w:pPr>
        <w:spacing w:line="360" w:lineRule="auto"/>
        <w:rPr>
          <w:rFonts w:hint="eastAsia" w:ascii="黑体" w:hAnsi="黑体" w:eastAsia="黑体" w:cs="黑体"/>
          <w:sz w:val="32"/>
          <w:szCs w:val="32"/>
        </w:rPr>
      </w:pPr>
    </w:p>
    <w:p>
      <w:pPr>
        <w:spacing w:line="360" w:lineRule="auto"/>
        <w:rPr>
          <w:rFonts w:ascii="黑体" w:hAnsi="黑体" w:eastAsia="黑体" w:cs="黑体"/>
          <w:sz w:val="44"/>
          <w:szCs w:val="44"/>
        </w:rPr>
      </w:pPr>
      <w:r>
        <w:rPr>
          <w:rFonts w:hint="eastAsia" w:ascii="黑体" w:hAnsi="黑体" w:eastAsia="黑体" w:cs="黑体"/>
          <w:sz w:val="32"/>
          <w:szCs w:val="32"/>
        </w:rPr>
        <w:t>附表</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403"/>
        <w:jc w:val="center"/>
        <w:textAlignment w:val="baseline"/>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云南省</w:t>
      </w:r>
      <w:r>
        <w:rPr>
          <w:rFonts w:hint="eastAsia" w:ascii="方正小标宋简体" w:hAnsi="方正小标宋简体" w:eastAsia="方正小标宋简体" w:cs="方正小标宋简体"/>
          <w:sz w:val="44"/>
          <w:szCs w:val="44"/>
          <w:lang w:val="en-US" w:eastAsia="zh-Hans"/>
        </w:rPr>
        <w:t>新平彝族傣族自治</w:t>
      </w:r>
      <w:r>
        <w:rPr>
          <w:rFonts w:hint="eastAsia" w:ascii="方正小标宋简体" w:hAnsi="方正小标宋简体" w:eastAsia="方正小标宋简体" w:cs="方正小标宋简体"/>
          <w:sz w:val="44"/>
          <w:szCs w:val="44"/>
        </w:rPr>
        <w:t>县烟草制品零售点排队轮候申请表</w:t>
      </w:r>
    </w:p>
    <w:tbl>
      <w:tblPr>
        <w:tblStyle w:val="9"/>
        <w:tblW w:w="0" w:type="auto"/>
        <w:jc w:val="center"/>
        <w:tblLayout w:type="fixed"/>
        <w:tblCellMar>
          <w:top w:w="0" w:type="dxa"/>
          <w:left w:w="108" w:type="dxa"/>
          <w:bottom w:w="0" w:type="dxa"/>
          <w:right w:w="108" w:type="dxa"/>
        </w:tblCellMar>
      </w:tblPr>
      <w:tblGrid>
        <w:gridCol w:w="2422"/>
        <w:gridCol w:w="2283"/>
        <w:gridCol w:w="1543"/>
        <w:gridCol w:w="2178"/>
      </w:tblGrid>
      <w:tr>
        <w:tblPrEx>
          <w:tblCellMar>
            <w:top w:w="0" w:type="dxa"/>
            <w:left w:w="108" w:type="dxa"/>
            <w:bottom w:w="0" w:type="dxa"/>
            <w:right w:w="108" w:type="dxa"/>
          </w:tblCellMar>
        </w:tblPrEx>
        <w:trPr>
          <w:trHeight w:val="464" w:hRule="atLeast"/>
          <w:jc w:val="center"/>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b/>
                <w:bCs/>
                <w:sz w:val="24"/>
              </w:rPr>
            </w:pPr>
            <w:r>
              <w:rPr>
                <w:rFonts w:hint="eastAsia" w:ascii="宋体" w:hAnsi="宋体" w:cs="宋体"/>
                <w:b/>
                <w:bCs/>
                <w:kern w:val="0"/>
                <w:sz w:val="24"/>
                <w:lang w:bidi="ar"/>
              </w:rPr>
              <w:t>申请人基本信息</w:t>
            </w:r>
          </w:p>
        </w:tc>
      </w:tr>
      <w:tr>
        <w:tblPrEx>
          <w:tblCellMar>
            <w:top w:w="0" w:type="dxa"/>
            <w:left w:w="108" w:type="dxa"/>
            <w:bottom w:w="0" w:type="dxa"/>
            <w:right w:w="108" w:type="dxa"/>
          </w:tblCellMar>
        </w:tblPrEx>
        <w:trPr>
          <w:trHeight w:val="559"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申请人姓名</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申请日期</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559"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身份证号码</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联系电话</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559"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归属街道</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归属网格</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495"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经营场所详细地址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495" w:hRule="atLeast"/>
          <w:jc w:val="center"/>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b/>
                <w:bCs/>
                <w:sz w:val="24"/>
              </w:rPr>
            </w:pPr>
            <w:r>
              <w:rPr>
                <w:rFonts w:hint="eastAsia" w:ascii="宋体" w:hAnsi="宋体" w:cs="宋体"/>
                <w:b/>
                <w:bCs/>
                <w:kern w:val="0"/>
                <w:sz w:val="24"/>
                <w:lang w:bidi="ar"/>
              </w:rPr>
              <w:t>营业执照基本信息</w:t>
            </w:r>
          </w:p>
        </w:tc>
      </w:tr>
      <w:tr>
        <w:tblPrEx>
          <w:tblCellMar>
            <w:top w:w="0" w:type="dxa"/>
            <w:left w:w="108" w:type="dxa"/>
            <w:bottom w:w="0" w:type="dxa"/>
            <w:right w:w="108" w:type="dxa"/>
          </w:tblCellMar>
        </w:tblPrEx>
        <w:trPr>
          <w:trHeight w:val="495"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统一社会信用代码</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495"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企业名称</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495"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企业类型</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495"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经营地址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4348" w:hRule="atLeast"/>
          <w:jc w:val="center"/>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Style w:val="13"/>
                <w:rFonts w:hint="default"/>
                <w:color w:val="auto"/>
                <w:lang w:bidi="ar"/>
              </w:rPr>
            </w:pPr>
            <w:r>
              <w:rPr>
                <w:rStyle w:val="13"/>
                <w:rFonts w:hint="default"/>
                <w:color w:val="auto"/>
                <w:lang w:bidi="ar"/>
              </w:rPr>
              <w:t>申请人承诺：</w:t>
            </w:r>
          </w:p>
          <w:p>
            <w:pPr>
              <w:widowControl/>
              <w:ind w:firstLine="480" w:firstLineChars="200"/>
              <w:jc w:val="left"/>
              <w:textAlignment w:val="center"/>
              <w:rPr>
                <w:rStyle w:val="13"/>
                <w:rFonts w:hint="default"/>
                <w:b w:val="0"/>
                <w:bCs w:val="0"/>
                <w:color w:val="auto"/>
                <w:lang w:bidi="ar"/>
              </w:rPr>
            </w:pPr>
            <w:r>
              <w:rPr>
                <w:rStyle w:val="13"/>
                <w:rFonts w:hint="default"/>
                <w:b w:val="0"/>
                <w:bCs w:val="0"/>
                <w:color w:val="auto"/>
                <w:lang w:bidi="ar"/>
              </w:rPr>
              <w:t>1.以上信息经申请人核对，确认无误。申请人所提交的信息以及文件、证件、有关材料全部真实有效，复印件与原件一致。如申请人在申请过程中存在弄虚作假、欺骗等行为的，申请人愿意承担由此引起的一切法律责任；</w:t>
            </w:r>
          </w:p>
          <w:p>
            <w:pPr>
              <w:widowControl/>
              <w:ind w:firstLine="480" w:firstLineChars="200"/>
              <w:jc w:val="left"/>
              <w:textAlignment w:val="center"/>
              <w:rPr>
                <w:rStyle w:val="13"/>
                <w:rFonts w:hint="default"/>
                <w:b w:val="0"/>
                <w:bCs w:val="0"/>
                <w:color w:val="auto"/>
                <w:lang w:bidi="ar"/>
              </w:rPr>
            </w:pPr>
            <w:r>
              <w:rPr>
                <w:rStyle w:val="13"/>
                <w:rFonts w:hint="default"/>
                <w:b w:val="0"/>
                <w:bCs w:val="0"/>
                <w:color w:val="auto"/>
                <w:lang w:bidi="ar"/>
              </w:rPr>
              <w:t>2.申请人所提交的预登记信息确保与到号办理时提交的办证信息一致，若不一致的，申请人应重新登记轮候；</w:t>
            </w:r>
          </w:p>
          <w:p>
            <w:pPr>
              <w:widowControl/>
              <w:ind w:firstLine="480" w:firstLineChars="200"/>
              <w:jc w:val="left"/>
              <w:textAlignment w:val="center"/>
              <w:rPr>
                <w:rStyle w:val="13"/>
                <w:rFonts w:hint="default"/>
                <w:b w:val="0"/>
                <w:bCs w:val="0"/>
                <w:color w:val="auto"/>
                <w:lang w:bidi="ar"/>
              </w:rPr>
            </w:pPr>
            <w:r>
              <w:rPr>
                <w:rStyle w:val="13"/>
                <w:rFonts w:hint="default"/>
                <w:b w:val="0"/>
                <w:bCs w:val="0"/>
                <w:color w:val="auto"/>
                <w:lang w:bidi="ar"/>
              </w:rPr>
              <w:t>3.申请人应当在收到办理通知之日起三日内提交办证申请材料，逾期未提交的，视同申请人自愿放弃本次排队轮候；因申请人填报地址、联系方式等不正确，导致发证机关在三个工作日内无法与申请人取得联系的，视同申请人自愿放弃本次排队轮候。申请人自愿放弃本次排队轮候的，本机关公示三日后，由下一位申请人递补办理。</w:t>
            </w:r>
          </w:p>
          <w:p>
            <w:pPr>
              <w:widowControl/>
              <w:ind w:firstLine="481" w:firstLineChars="200"/>
              <w:jc w:val="left"/>
              <w:textAlignment w:val="center"/>
              <w:rPr>
                <w:rFonts w:ascii="宋体" w:hAnsi="宋体" w:cs="宋体"/>
                <w:b/>
                <w:bCs/>
                <w:sz w:val="24"/>
              </w:rPr>
            </w:pPr>
            <w:r>
              <w:rPr>
                <w:rStyle w:val="13"/>
                <w:rFonts w:hint="default"/>
                <w:color w:val="auto"/>
                <w:lang w:bidi="ar"/>
              </w:rPr>
              <w:t>申请人或代理人（签名或印章）：</w:t>
            </w:r>
            <w:r>
              <w:rPr>
                <w:rStyle w:val="14"/>
                <w:rFonts w:hint="default"/>
                <w:color w:val="auto"/>
                <w:lang w:bidi="ar"/>
              </w:rPr>
              <w:t xml:space="preserve">      </w:t>
            </w:r>
            <w:r>
              <w:rPr>
                <w:rStyle w:val="14"/>
                <w:rFonts w:hint="default" w:ascii="宋体"/>
                <w:color w:val="auto"/>
                <w:lang w:bidi="ar"/>
              </w:rPr>
              <w:t xml:space="preserve">   </w:t>
            </w:r>
            <w:r>
              <w:rPr>
                <w:rStyle w:val="14"/>
                <w:rFonts w:hint="eastAsia" w:ascii="宋体" w:eastAsia="宋体"/>
                <w:color w:val="auto"/>
                <w:lang w:val="en-US" w:eastAsia="zh-CN" w:bidi="ar"/>
              </w:rPr>
              <w:t xml:space="preserve">                  </w:t>
            </w:r>
            <w:r>
              <w:rPr>
                <w:rStyle w:val="14"/>
                <w:rFonts w:hint="default" w:ascii="宋体"/>
                <w:color w:val="auto"/>
                <w:lang w:bidi="ar"/>
              </w:rPr>
              <w:t xml:space="preserve"> </w:t>
            </w:r>
            <w:r>
              <w:rPr>
                <w:rStyle w:val="14"/>
                <w:rFonts w:hint="eastAsia" w:ascii="宋体" w:eastAsia="宋体"/>
                <w:color w:val="auto"/>
                <w:lang w:val="en-US" w:eastAsia="zh-CN" w:bidi="ar"/>
              </w:rPr>
              <w:t xml:space="preserve">          </w:t>
            </w:r>
            <w:r>
              <w:rPr>
                <w:rStyle w:val="14"/>
                <w:rFonts w:hint="default" w:ascii="宋体"/>
                <w:color w:val="auto"/>
                <w:lang w:bidi="ar"/>
              </w:rPr>
              <w:t xml:space="preserve"> </w:t>
            </w:r>
            <w:r>
              <w:rPr>
                <w:rStyle w:val="14"/>
                <w:rFonts w:hint="default"/>
                <w:color w:val="auto"/>
                <w:lang w:bidi="ar"/>
              </w:rPr>
              <w:t xml:space="preserve">  </w:t>
            </w:r>
            <w:r>
              <w:rPr>
                <w:rStyle w:val="13"/>
                <w:rFonts w:hint="default"/>
                <w:color w:val="auto"/>
                <w:lang w:bidi="ar"/>
              </w:rPr>
              <w:t xml:space="preserve">                                                                         </w:t>
            </w:r>
          </w:p>
        </w:tc>
      </w:tr>
      <w:tr>
        <w:tblPrEx>
          <w:tblCellMar>
            <w:top w:w="0" w:type="dxa"/>
            <w:left w:w="108" w:type="dxa"/>
            <w:bottom w:w="0" w:type="dxa"/>
            <w:right w:w="108" w:type="dxa"/>
          </w:tblCellMar>
        </w:tblPrEx>
        <w:trPr>
          <w:trHeight w:val="641"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sz w:val="24"/>
              </w:rPr>
            </w:pPr>
            <w:r>
              <w:rPr>
                <w:rFonts w:hint="eastAsia" w:ascii="宋体" w:hAnsi="宋体" w:cs="宋体"/>
                <w:b/>
                <w:bCs/>
                <w:kern w:val="0"/>
                <w:sz w:val="24"/>
                <w:lang w:bidi="ar"/>
              </w:rPr>
              <w:t>排队轮候顺序号</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sz w:val="24"/>
              </w:rPr>
            </w:pPr>
          </w:p>
        </w:tc>
      </w:tr>
    </w:tbl>
    <w:p>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pPr>
    </w:p>
    <w:sectPr>
      <w:footerReference r:id="rId14" w:type="default"/>
      <w:pgSz w:w="11906" w:h="16838"/>
      <w:pgMar w:top="2098" w:right="1531" w:bottom="1984" w:left="1531" w:header="851" w:footer="992" w:gutter="0"/>
      <w:pgNumType w:fmt="numberInDash" w:start="1"/>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方正仿宋">
    <w:altName w:val="方正仿宋_GBK"/>
    <w:panose1 w:val="03000509000000000000"/>
    <w:charset w:val="86"/>
    <w:family w:val="script"/>
    <w:pitch w:val="default"/>
    <w:sig w:usb0="00000000" w:usb1="00000000" w:usb2="00000010" w:usb3="00000000" w:csb0="00040000" w:csb1="00000000"/>
  </w:font>
  <w:font w:name="方正仿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方正仿宋_GB2312">
    <w:altName w:val="方正仿宋_GBK"/>
    <w:panose1 w:val="02000000000000000000"/>
    <w:charset w:val="86"/>
    <w:family w:val="auto"/>
    <w:pitch w:val="default"/>
    <w:sig w:usb0="00000000" w:usb1="00000000"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微软雅黑">
    <w:altName w:val="方正黑体_GB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rFonts w:hint="default"/>
        <w:sz w:val="2"/>
        <w:lang w:val="en-US"/>
      </w:rPr>
    </w:pPr>
    <w:r>
      <w:rPr>
        <w:sz w:val="2"/>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k+9p2MgIAAGMEAAAOAAAAZHJz&#10;L2Uyb0RvYy54bWytVM2O0zAQviPxDpbvNGkRS1U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KT72nYyAgAAYwQAAA4AAAAAAAAAAQAgAAAA&#10;NQEAAGRycy9lMm9Eb2MueG1sUEsFBgAAAAAGAAYAWQEAANk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- 2 -</w:t>
                    </w:r>
                    <w:r>
                      <w:fldChar w:fldCharType="end"/>
                    </w:r>
                  </w:p>
                </w:txbxContent>
              </v:textbox>
            </v:shape>
          </w:pict>
        </mc:Fallback>
      </mc:AlternateContent>
    </w:r>
    <w:r>
      <w:rPr>
        <w:rFonts w:hint="eastAsia" w:eastAsia="宋体"/>
        <w:sz w:val="2"/>
        <w:lang w:val="en-US" w:eastAsia="zh-CN"/>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宋体" w:hAnsi="宋体" w:cs="宋体"/>
                              <w:sz w:val="28"/>
                              <w:szCs w:val="28"/>
                            </w:rPr>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- 1 -</w:t>
                          </w:r>
                          <w:r>
                            <w:rPr>
                              <w:rFonts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zSVju0AAAAAUBAAAPAAAAAAAAAAEAIAAAADgAAABkcnMvZG93&#10;bnJldi54bWxQSwECFAAUAAAACACHTuJAe3ZNVisCAABXBAAADgAAAAAAAAABACAAAAA1AQAAZHJz&#10;L2Uyb0RvYy54bWxQSwUGAAAAAAYABgBZAQAA0gUAAAAA&#10;">
              <v:fill on="f" focussize="0,0"/>
              <v:stroke on="f" weight="0.5pt"/>
              <v:imagedata o:title=""/>
              <o:lock v:ext="edit" aspectratio="f"/>
              <v:textbox inset="0mm,0mm,0mm,0mm" style="mso-fit-shape-to-text:t;">
                <w:txbxContent>
                  <w:p>
                    <w:pPr>
                      <w:pStyle w:val="5"/>
                      <w:rPr>
                        <w:rFonts w:ascii="宋体" w:hAnsi="宋体" w:cs="宋体"/>
                        <w:sz w:val="28"/>
                        <w:szCs w:val="28"/>
                      </w:rPr>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- 1 -</w:t>
                    </w:r>
                    <w:r>
                      <w:rPr>
                        <w:rFonts w:ascii="宋体" w:hAnsi="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989aEMQIAAGM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&#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vfPWhDECAABjBAAADgAAAAAAAAABACAAAAA1&#10;AQAAZHJzL2Uyb0RvYy54bWxQSwUGAAAAAAYABgBZAQAA2AUAAAAA&#10;">
              <v:fill on="f" focussize="0,0"/>
              <v:stroke on="f" weight="0.5pt"/>
              <v:imagedata o:title=""/>
              <o:lock v:ext="edit" aspectratio="f"/>
              <v:textbox inset="0mm,0mm,0mm,0mm" style="mso-fit-shape-to-text:t;">
                <w:txbxContent>
                  <w:p>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rFonts w:hint="default"/>
        <w:sz w:val="2"/>
        <w:lang w:val="en-US"/>
      </w:rPr>
    </w:pPr>
    <w:r>
      <w:rPr>
        <w:sz w:val="2"/>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BsYWDvMwIAAGMEAAAOAAAAAAAAAAEAIAAA&#10;ADUBAABkcnMvZTJvRG9jLnhtbFBLBQYAAAAABgAGAFkBAADa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- 2 -</w:t>
                    </w:r>
                    <w:r>
                      <w:fldChar w:fldCharType="end"/>
                    </w:r>
                  </w:p>
                </w:txbxContent>
              </v:textbox>
            </v:shape>
          </w:pict>
        </mc:Fallback>
      </mc:AlternateContent>
    </w:r>
    <w:r>
      <w:rPr>
        <w:rFonts w:hint="eastAsia" w:eastAsia="宋体"/>
        <w:sz w:val="2"/>
        <w:lang w:val="en-US" w:eastAsia="zh-CN"/>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rn6kEMwIAAGMEAAAOAAAAZHJz&#10;L2Uyb0RvYy54bWytVM2O0zAQviPxDpbvNGmBVVU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Drn6kEMwIAAGMEAAAOAAAAAAAAAAEAIAAA&#10;ADUBAABkcnMvZTJvRG9jLnhtbFBLBQYAAAAABgAGAFkBAADa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kZEsIMwIAAGM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CkZEsIMwIAAGMEAAAOAAAAAAAAAAEAIAAA&#10;ADUBAABkcnMvZTJvRG9jLnhtbFBLBQYAAAAABgAGAFkBAADaBQAAAAA=&#10;">
              <v:fill on="f" focussize="0,0"/>
              <v:stroke on="f" weight="0.5pt"/>
              <v:imagedata o:title=""/>
              <o:lock v:ext="edit" aspectratio="f"/>
              <v:textbox inset="0mm,0mm,0mm,0mm" style="mso-fit-shape-to-text:t;">
                <w:txbxContent>
                  <w:p>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rFonts w:hint="default"/>
        <w:sz w:val="2"/>
        <w:lang w:val="en-US"/>
      </w:rPr>
    </w:pPr>
    <w:r>
      <w:rPr>
        <w:sz w:val="2"/>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6wA4ejECAABjBAAADgAAAAAAAAABACAAAAA1&#10;AQAAZHJzL2Uyb0RvYy54bWxQSwUGAAAAAAYABgBZAQAA2AUAAAAA&#10;">
              <v:fill on="f" focussize="0,0"/>
              <v:stroke on="f" weight="0.5pt"/>
              <v:imagedata o:title=""/>
              <o:lock v:ext="edit" aspectratio="f"/>
              <v:textbox inset="0mm,0mm,0mm,0mm" style="mso-fit-shape-to-text:t;">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v:textbox>
            </v:shape>
          </w:pict>
        </mc:Fallback>
      </mc:AlternateContent>
    </w:r>
    <w:r>
      <w:rPr>
        <w:rFonts w:hint="eastAsia" w:eastAsia="宋体"/>
        <w:sz w:val="2"/>
        <w:lang w:val="en-US" w:eastAsia="zh-CN"/>
      </w:rPr>
      <w:t>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jBROdMgIAAGMEAAAOAAAAZHJz&#10;L2Uyb0RvYy54bWytVM2O0zAQviPxDpbvNGmBVVU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CMFE50yAgAAYwQAAA4AAAAAAAAAAQAgAAAA&#10;NQEAAGRycy9lMm9Eb2MueG1sUEsFBgAAAAAGAAYAWQEAANkFAAAAAA==&#10;">
              <v:fill on="f" focussize="0,0"/>
              <v:stroke on="f" weight="0.5pt"/>
              <v:imagedata o:title=""/>
              <o:lock v:ext="edit" aspectratio="f"/>
              <v:textbox inset="0mm,0mm,0mm,0mm" style="mso-fit-shape-to-text:t;">
                <w:txbxContent>
                  <w:p>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宋体" w:hAnsi="宋体" w:cs="宋体"/>
                              <w:sz w:val="28"/>
                              <w:szCs w:val="28"/>
                            </w:rPr>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- 1 -</w:t>
                          </w:r>
                          <w:r>
                            <w:rPr>
                              <w:rFonts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LNJWO7QAAAABQEAAA8AAAAAAAAAAQAgAAAAOAAAAGRycy9kb3du&#10;cmV2LnhtbFBLAQIUABQAAAAIAIdO4kDK3dcMKgIAAFcEAAAOAAAAAAAAAAEAIAAAADUBAABkcnMv&#10;ZTJvRG9jLnhtbFBLBQYAAAAABgAGAFkBAADRBQAAAAA=&#10;">
              <v:fill on="f" focussize="0,0"/>
              <v:stroke on="f" weight="0.5pt"/>
              <v:imagedata o:title=""/>
              <o:lock v:ext="edit" aspectratio="f"/>
              <v:textbox inset="0mm,0mm,0mm,0mm" style="mso-fit-shape-to-text:t;">
                <w:txbxContent>
                  <w:p>
                    <w:pPr>
                      <w:pStyle w:val="5"/>
                      <w:rPr>
                        <w:rFonts w:ascii="宋体" w:hAnsi="宋体" w:cs="宋体"/>
                        <w:sz w:val="28"/>
                        <w:szCs w:val="28"/>
                      </w:rPr>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- 1 -</w:t>
                    </w:r>
                    <w:r>
                      <w:rPr>
                        <w:rFonts w:ascii="宋体" w:hAnsi="宋体" w:cs="宋体"/>
                        <w:sz w:val="28"/>
                        <w:szCs w:val="2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0288" behindDoc="0" locked="0" layoutInCell="1" allowOverlap="1">
              <wp:simplePos x="0" y="0"/>
              <wp:positionH relativeFrom="margin">
                <wp:posOffset>6350</wp:posOffset>
              </wp:positionH>
              <wp:positionV relativeFrom="paragraph">
                <wp:posOffset>-81915</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0.5pt;margin-top:-6.45pt;height:144pt;width:144pt;mso-position-horizontal-relative:margin;mso-wrap-style:none;z-index:251660288;mso-width-relative:page;mso-height-relative:page;" filled="f" stroked="f" coordsize="21600,21600" o:gfxdata="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&#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luh7D1gAAAAkBAAAPAAAAAAAAAAEAIAAAADgAAABk&#10;cnMvZG93bnJldi54bWxQSwECFAAUAAAACACHTuJAmkZxjCsCAABXBAAADgAAAAAAAAABACAAAAA7&#10;AQAAZHJzL2Uyb0RvYy54bWxQSwUGAAAAAAYABgBZAQAA2AUAAAAA&#10;">
              <v:fill on="f" focussize="0,0"/>
              <v:stroke on="f" weight="0.5pt"/>
              <v:imagedata o:title=""/>
              <o:lock v:ext="edit" aspectratio="f"/>
              <v:textbox inset="0mm,0mm,0mm,0mm" style="mso-fit-shape-to-text:t;">
                <w:txbxContent>
                  <w:p>
                    <w:pPr>
                      <w:pStyle w:val="5"/>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TI5ZDNiZjIyMGY4MDZjNGI0M2RiZDY2NzVhN2E4NTcifQ=="/>
  </w:docVars>
  <w:rsids>
    <w:rsidRoot w:val="00000000"/>
    <w:rsid w:val="013E4673"/>
    <w:rsid w:val="049272F0"/>
    <w:rsid w:val="04B25911"/>
    <w:rsid w:val="054F6115"/>
    <w:rsid w:val="09481A30"/>
    <w:rsid w:val="0A3B0B2F"/>
    <w:rsid w:val="0ADDD75A"/>
    <w:rsid w:val="0BC67500"/>
    <w:rsid w:val="0FBFA5CA"/>
    <w:rsid w:val="10C430FC"/>
    <w:rsid w:val="11ED6EF1"/>
    <w:rsid w:val="129156AF"/>
    <w:rsid w:val="13532191"/>
    <w:rsid w:val="13EBE4F8"/>
    <w:rsid w:val="152D6842"/>
    <w:rsid w:val="17366265"/>
    <w:rsid w:val="17DF9735"/>
    <w:rsid w:val="18FB1C22"/>
    <w:rsid w:val="1A8C18A1"/>
    <w:rsid w:val="1AFF7230"/>
    <w:rsid w:val="1B4D553A"/>
    <w:rsid w:val="1BBA5568"/>
    <w:rsid w:val="1BBF3C33"/>
    <w:rsid w:val="1CAD0994"/>
    <w:rsid w:val="1CEEFD67"/>
    <w:rsid w:val="1DB7548A"/>
    <w:rsid w:val="1DFB25D6"/>
    <w:rsid w:val="1E3E1826"/>
    <w:rsid w:val="1E77A66A"/>
    <w:rsid w:val="1E860D4B"/>
    <w:rsid w:val="1EF60CF5"/>
    <w:rsid w:val="1EFD15E7"/>
    <w:rsid w:val="1EFFFB28"/>
    <w:rsid w:val="1F2E11E4"/>
    <w:rsid w:val="1F5F84FD"/>
    <w:rsid w:val="1F758540"/>
    <w:rsid w:val="1F9DA916"/>
    <w:rsid w:val="1FDE816B"/>
    <w:rsid w:val="1FF72BEF"/>
    <w:rsid w:val="20C01C32"/>
    <w:rsid w:val="21F61C1C"/>
    <w:rsid w:val="2342170A"/>
    <w:rsid w:val="2351457F"/>
    <w:rsid w:val="2435658D"/>
    <w:rsid w:val="250705AC"/>
    <w:rsid w:val="25ED0FA1"/>
    <w:rsid w:val="26799ABE"/>
    <w:rsid w:val="26A93DBD"/>
    <w:rsid w:val="275FE414"/>
    <w:rsid w:val="2BF9147F"/>
    <w:rsid w:val="2D397060"/>
    <w:rsid w:val="2DDB64B2"/>
    <w:rsid w:val="2ED44465"/>
    <w:rsid w:val="2F334CC0"/>
    <w:rsid w:val="2F7EACB7"/>
    <w:rsid w:val="2FA0563A"/>
    <w:rsid w:val="2FFE6AD4"/>
    <w:rsid w:val="307C226C"/>
    <w:rsid w:val="327F2249"/>
    <w:rsid w:val="33505B90"/>
    <w:rsid w:val="33DB1629"/>
    <w:rsid w:val="35D4E568"/>
    <w:rsid w:val="35EB6296"/>
    <w:rsid w:val="374DDF0C"/>
    <w:rsid w:val="376FD214"/>
    <w:rsid w:val="37B20589"/>
    <w:rsid w:val="37CB52F2"/>
    <w:rsid w:val="37FEA351"/>
    <w:rsid w:val="389EA249"/>
    <w:rsid w:val="39FAB2F2"/>
    <w:rsid w:val="3AFE6637"/>
    <w:rsid w:val="3B763DA8"/>
    <w:rsid w:val="3BAD0C09"/>
    <w:rsid w:val="3BFE5B3C"/>
    <w:rsid w:val="3D7FF302"/>
    <w:rsid w:val="3DDF3C00"/>
    <w:rsid w:val="3DEE5BCB"/>
    <w:rsid w:val="3DFB5EDD"/>
    <w:rsid w:val="3DFE0079"/>
    <w:rsid w:val="3DFFEE11"/>
    <w:rsid w:val="3E554590"/>
    <w:rsid w:val="3E792A05"/>
    <w:rsid w:val="3EEBA55A"/>
    <w:rsid w:val="3EFB875B"/>
    <w:rsid w:val="3F075526"/>
    <w:rsid w:val="3F787203"/>
    <w:rsid w:val="3F7ABA67"/>
    <w:rsid w:val="3F7D99AE"/>
    <w:rsid w:val="3F7F03E3"/>
    <w:rsid w:val="3F98647E"/>
    <w:rsid w:val="3F9FE7BD"/>
    <w:rsid w:val="3FAB92F9"/>
    <w:rsid w:val="3FB2532C"/>
    <w:rsid w:val="3FB9CFAA"/>
    <w:rsid w:val="3FBF0232"/>
    <w:rsid w:val="3FCB36E1"/>
    <w:rsid w:val="3FD4A6F5"/>
    <w:rsid w:val="3FDFD0B3"/>
    <w:rsid w:val="3FF99A03"/>
    <w:rsid w:val="3FFA611E"/>
    <w:rsid w:val="3FFBF355"/>
    <w:rsid w:val="3FFE78C2"/>
    <w:rsid w:val="3FFF8791"/>
    <w:rsid w:val="3FFFEE07"/>
    <w:rsid w:val="404D19C2"/>
    <w:rsid w:val="437FD157"/>
    <w:rsid w:val="44E644B0"/>
    <w:rsid w:val="45EF5655"/>
    <w:rsid w:val="47BB0D9F"/>
    <w:rsid w:val="47EFE73C"/>
    <w:rsid w:val="491F5F32"/>
    <w:rsid w:val="49CDF4F2"/>
    <w:rsid w:val="4AFCA113"/>
    <w:rsid w:val="4B6D5AD7"/>
    <w:rsid w:val="4BFD3D3D"/>
    <w:rsid w:val="4C34477E"/>
    <w:rsid w:val="4E76671F"/>
    <w:rsid w:val="4ED7FC7A"/>
    <w:rsid w:val="4FD76FE8"/>
    <w:rsid w:val="4FDF648D"/>
    <w:rsid w:val="500A6659"/>
    <w:rsid w:val="53F85E51"/>
    <w:rsid w:val="545D7FC8"/>
    <w:rsid w:val="573FEB1C"/>
    <w:rsid w:val="57DBDE63"/>
    <w:rsid w:val="57F75F15"/>
    <w:rsid w:val="57FF1865"/>
    <w:rsid w:val="59BDBC9F"/>
    <w:rsid w:val="5C9AB159"/>
    <w:rsid w:val="5D3A37B9"/>
    <w:rsid w:val="5D9D2CCB"/>
    <w:rsid w:val="5DCA050F"/>
    <w:rsid w:val="5DDEF2C7"/>
    <w:rsid w:val="5DF6CF05"/>
    <w:rsid w:val="5DFF4E97"/>
    <w:rsid w:val="5ED32047"/>
    <w:rsid w:val="5EF36933"/>
    <w:rsid w:val="5EFF7F6C"/>
    <w:rsid w:val="5F5FDEB4"/>
    <w:rsid w:val="5F74995E"/>
    <w:rsid w:val="5F7E5FCC"/>
    <w:rsid w:val="5FBB5EBC"/>
    <w:rsid w:val="5FBD332F"/>
    <w:rsid w:val="5FDB141C"/>
    <w:rsid w:val="5FEDC5A6"/>
    <w:rsid w:val="5FEF10E0"/>
    <w:rsid w:val="5FEF85C3"/>
    <w:rsid w:val="5FF59BF6"/>
    <w:rsid w:val="5FFF1FB3"/>
    <w:rsid w:val="60920350"/>
    <w:rsid w:val="61FB3D00"/>
    <w:rsid w:val="62290116"/>
    <w:rsid w:val="627E709B"/>
    <w:rsid w:val="62D358FF"/>
    <w:rsid w:val="633E5C62"/>
    <w:rsid w:val="63BCF8F8"/>
    <w:rsid w:val="63DE8FAF"/>
    <w:rsid w:val="63FE11FD"/>
    <w:rsid w:val="64056B95"/>
    <w:rsid w:val="64D786C5"/>
    <w:rsid w:val="65200BA4"/>
    <w:rsid w:val="65BD2897"/>
    <w:rsid w:val="66BDBDD3"/>
    <w:rsid w:val="66F24BC3"/>
    <w:rsid w:val="66FEDCF1"/>
    <w:rsid w:val="67BCB6E3"/>
    <w:rsid w:val="67CF0CC4"/>
    <w:rsid w:val="67CF0E6A"/>
    <w:rsid w:val="67DB41B3"/>
    <w:rsid w:val="67E3FE93"/>
    <w:rsid w:val="67FFC1B3"/>
    <w:rsid w:val="687B83AD"/>
    <w:rsid w:val="68850646"/>
    <w:rsid w:val="6A444DE4"/>
    <w:rsid w:val="6B7E8EC2"/>
    <w:rsid w:val="6C17E5C7"/>
    <w:rsid w:val="6CBFB9F0"/>
    <w:rsid w:val="6CD6D9F0"/>
    <w:rsid w:val="6CFFFCD3"/>
    <w:rsid w:val="6DB704B4"/>
    <w:rsid w:val="6DCF29EA"/>
    <w:rsid w:val="6DFFBF5C"/>
    <w:rsid w:val="6E0CDCF3"/>
    <w:rsid w:val="6EBDE399"/>
    <w:rsid w:val="6ED74992"/>
    <w:rsid w:val="6EF74EC7"/>
    <w:rsid w:val="6EFC1FD3"/>
    <w:rsid w:val="6F2F199F"/>
    <w:rsid w:val="6F5D44F8"/>
    <w:rsid w:val="6FA66D7F"/>
    <w:rsid w:val="6FBA234F"/>
    <w:rsid w:val="6FBBB4F6"/>
    <w:rsid w:val="6FBF9714"/>
    <w:rsid w:val="6FCF76BF"/>
    <w:rsid w:val="6FE77007"/>
    <w:rsid w:val="6FEF2F11"/>
    <w:rsid w:val="6FFBB320"/>
    <w:rsid w:val="6FFFC962"/>
    <w:rsid w:val="72041E50"/>
    <w:rsid w:val="723BC2AD"/>
    <w:rsid w:val="73755D6E"/>
    <w:rsid w:val="73BF7A69"/>
    <w:rsid w:val="73FB7F7B"/>
    <w:rsid w:val="742FCE56"/>
    <w:rsid w:val="75D833FD"/>
    <w:rsid w:val="762658B3"/>
    <w:rsid w:val="767FF8DE"/>
    <w:rsid w:val="76FBF164"/>
    <w:rsid w:val="76FCAD4B"/>
    <w:rsid w:val="7750FB16"/>
    <w:rsid w:val="7773C78A"/>
    <w:rsid w:val="77B5A0E6"/>
    <w:rsid w:val="78C9AD88"/>
    <w:rsid w:val="78FF9091"/>
    <w:rsid w:val="795F5BEB"/>
    <w:rsid w:val="79FFD2CF"/>
    <w:rsid w:val="7A743F7F"/>
    <w:rsid w:val="7AFF833F"/>
    <w:rsid w:val="7B2FCF8B"/>
    <w:rsid w:val="7BABE799"/>
    <w:rsid w:val="7BAD7A06"/>
    <w:rsid w:val="7BBF1642"/>
    <w:rsid w:val="7BC53451"/>
    <w:rsid w:val="7BD8751B"/>
    <w:rsid w:val="7BDFF825"/>
    <w:rsid w:val="7BEF4B2B"/>
    <w:rsid w:val="7BEF6E27"/>
    <w:rsid w:val="7BF482FB"/>
    <w:rsid w:val="7BF5D6A0"/>
    <w:rsid w:val="7BFBE803"/>
    <w:rsid w:val="7BFFB602"/>
    <w:rsid w:val="7C77B121"/>
    <w:rsid w:val="7CDC4F44"/>
    <w:rsid w:val="7D1F69E2"/>
    <w:rsid w:val="7D36E999"/>
    <w:rsid w:val="7D59B107"/>
    <w:rsid w:val="7D7741BC"/>
    <w:rsid w:val="7D7F844F"/>
    <w:rsid w:val="7DAE6AAA"/>
    <w:rsid w:val="7DEF22D9"/>
    <w:rsid w:val="7DF6242D"/>
    <w:rsid w:val="7E297F4E"/>
    <w:rsid w:val="7E9A1946"/>
    <w:rsid w:val="7EABBA1D"/>
    <w:rsid w:val="7EB74F08"/>
    <w:rsid w:val="7EBED3E8"/>
    <w:rsid w:val="7EDF0269"/>
    <w:rsid w:val="7EDF2836"/>
    <w:rsid w:val="7EDF9B43"/>
    <w:rsid w:val="7EF338DD"/>
    <w:rsid w:val="7EF73C80"/>
    <w:rsid w:val="7EFEFAAD"/>
    <w:rsid w:val="7EFFD92A"/>
    <w:rsid w:val="7EFFDD5E"/>
    <w:rsid w:val="7F36918D"/>
    <w:rsid w:val="7F3B387B"/>
    <w:rsid w:val="7F3CF715"/>
    <w:rsid w:val="7F663199"/>
    <w:rsid w:val="7F672E1B"/>
    <w:rsid w:val="7F6C8074"/>
    <w:rsid w:val="7F90DF9A"/>
    <w:rsid w:val="7FAAF480"/>
    <w:rsid w:val="7FAFFB88"/>
    <w:rsid w:val="7FB3154C"/>
    <w:rsid w:val="7FB65201"/>
    <w:rsid w:val="7FBF5E17"/>
    <w:rsid w:val="7FCF609F"/>
    <w:rsid w:val="7FDE9AC8"/>
    <w:rsid w:val="7FDF056C"/>
    <w:rsid w:val="7FE090D5"/>
    <w:rsid w:val="7FE54A2E"/>
    <w:rsid w:val="7FE78155"/>
    <w:rsid w:val="7FEEF661"/>
    <w:rsid w:val="7FF4AFDF"/>
    <w:rsid w:val="7FF5C35D"/>
    <w:rsid w:val="7FF6D4AE"/>
    <w:rsid w:val="7FF74BD4"/>
    <w:rsid w:val="7FF779BC"/>
    <w:rsid w:val="7FFBF8A0"/>
    <w:rsid w:val="7FFD8CCF"/>
    <w:rsid w:val="7FFE8DBE"/>
    <w:rsid w:val="7FFF16CC"/>
    <w:rsid w:val="7FFFE763"/>
    <w:rsid w:val="85FF3E4B"/>
    <w:rsid w:val="87F72C63"/>
    <w:rsid w:val="8BBF7F4A"/>
    <w:rsid w:val="8D93ECA7"/>
    <w:rsid w:val="933FBED1"/>
    <w:rsid w:val="9566D5E3"/>
    <w:rsid w:val="972FD597"/>
    <w:rsid w:val="97D75AF4"/>
    <w:rsid w:val="97ED634A"/>
    <w:rsid w:val="9CEB7BDF"/>
    <w:rsid w:val="9DDE6061"/>
    <w:rsid w:val="9E9FAB94"/>
    <w:rsid w:val="9EFF770A"/>
    <w:rsid w:val="9F679F4D"/>
    <w:rsid w:val="9F6DEB7A"/>
    <w:rsid w:val="9F6E74F8"/>
    <w:rsid w:val="9FB7EEA4"/>
    <w:rsid w:val="9FCFDFAC"/>
    <w:rsid w:val="9FFFB1D6"/>
    <w:rsid w:val="A1FD60B3"/>
    <w:rsid w:val="A3C6E201"/>
    <w:rsid w:val="A5AF9EF0"/>
    <w:rsid w:val="A7EB0BBB"/>
    <w:rsid w:val="AF8BEF9B"/>
    <w:rsid w:val="AFDE7465"/>
    <w:rsid w:val="AFDED690"/>
    <w:rsid w:val="AFDF410B"/>
    <w:rsid w:val="AFF9E2C3"/>
    <w:rsid w:val="AFFEC63B"/>
    <w:rsid w:val="AFFF2D01"/>
    <w:rsid w:val="B5F75482"/>
    <w:rsid w:val="B5F98B76"/>
    <w:rsid w:val="B6E7CA46"/>
    <w:rsid w:val="B6FB7576"/>
    <w:rsid w:val="B6FEC19B"/>
    <w:rsid w:val="B77E4903"/>
    <w:rsid w:val="B7E767C4"/>
    <w:rsid w:val="B93F7E52"/>
    <w:rsid w:val="BA3FD80F"/>
    <w:rsid w:val="BAF7BFAF"/>
    <w:rsid w:val="BAFFECD4"/>
    <w:rsid w:val="BDBB5099"/>
    <w:rsid w:val="BDCD8F7A"/>
    <w:rsid w:val="BDF7B165"/>
    <w:rsid w:val="BE3F1444"/>
    <w:rsid w:val="BE7E7135"/>
    <w:rsid w:val="BED7C9A4"/>
    <w:rsid w:val="BEDCF388"/>
    <w:rsid w:val="BEF3C3EA"/>
    <w:rsid w:val="BEF7DADA"/>
    <w:rsid w:val="BF2FF4DA"/>
    <w:rsid w:val="BF713518"/>
    <w:rsid w:val="BF93F1CB"/>
    <w:rsid w:val="BFC7A0C9"/>
    <w:rsid w:val="BFDF112F"/>
    <w:rsid w:val="BFE8A930"/>
    <w:rsid w:val="BFEFE87E"/>
    <w:rsid w:val="BFFF2175"/>
    <w:rsid w:val="C001B995"/>
    <w:rsid w:val="C3DCCA65"/>
    <w:rsid w:val="C56F1154"/>
    <w:rsid w:val="C5FB4AC8"/>
    <w:rsid w:val="C73FC6CD"/>
    <w:rsid w:val="CBEFEBD0"/>
    <w:rsid w:val="CD7FD54B"/>
    <w:rsid w:val="CD9334A5"/>
    <w:rsid w:val="CEBDFDC7"/>
    <w:rsid w:val="CFF6CA33"/>
    <w:rsid w:val="D1B5DF6B"/>
    <w:rsid w:val="D1ED514A"/>
    <w:rsid w:val="D2E05801"/>
    <w:rsid w:val="D3FEFBEE"/>
    <w:rsid w:val="D6F1012B"/>
    <w:rsid w:val="D74B9978"/>
    <w:rsid w:val="D793BBE0"/>
    <w:rsid w:val="D79DD884"/>
    <w:rsid w:val="D7D9CF67"/>
    <w:rsid w:val="D7DE442C"/>
    <w:rsid w:val="D7EAFA8F"/>
    <w:rsid w:val="D9FF6ED5"/>
    <w:rsid w:val="DB766E9E"/>
    <w:rsid w:val="DB7A94D7"/>
    <w:rsid w:val="DBBFF564"/>
    <w:rsid w:val="DC7F5E38"/>
    <w:rsid w:val="DE37DC2B"/>
    <w:rsid w:val="DE714240"/>
    <w:rsid w:val="DEB65C71"/>
    <w:rsid w:val="DEF7478A"/>
    <w:rsid w:val="DEFA668C"/>
    <w:rsid w:val="DF7FB4FF"/>
    <w:rsid w:val="DF9BE263"/>
    <w:rsid w:val="DFB751F3"/>
    <w:rsid w:val="DFDE2FBD"/>
    <w:rsid w:val="DFE371D5"/>
    <w:rsid w:val="DFE98A67"/>
    <w:rsid w:val="DFEF3CC9"/>
    <w:rsid w:val="DFF73C1F"/>
    <w:rsid w:val="DFFB269F"/>
    <w:rsid w:val="DFFB2947"/>
    <w:rsid w:val="DFFC09B8"/>
    <w:rsid w:val="E3D76876"/>
    <w:rsid w:val="E3DF8CA0"/>
    <w:rsid w:val="E6AFFCE3"/>
    <w:rsid w:val="E6DF3E9D"/>
    <w:rsid w:val="E6F582DE"/>
    <w:rsid w:val="E6FB8E37"/>
    <w:rsid w:val="E7B46D1E"/>
    <w:rsid w:val="E92F9E03"/>
    <w:rsid w:val="EA97DC77"/>
    <w:rsid w:val="EABB9DA4"/>
    <w:rsid w:val="EB5F9C14"/>
    <w:rsid w:val="EB7F8A7B"/>
    <w:rsid w:val="EBD50F5A"/>
    <w:rsid w:val="EBDD6D13"/>
    <w:rsid w:val="EBEA151D"/>
    <w:rsid w:val="EBEB5BFF"/>
    <w:rsid w:val="EBF701C0"/>
    <w:rsid w:val="EBFE8A2B"/>
    <w:rsid w:val="EBFF4456"/>
    <w:rsid w:val="ED9BB7C4"/>
    <w:rsid w:val="EDDD04EF"/>
    <w:rsid w:val="EE7E8B94"/>
    <w:rsid w:val="EEB7CE3C"/>
    <w:rsid w:val="EEBE8ADF"/>
    <w:rsid w:val="EF7E7743"/>
    <w:rsid w:val="EF9DFA53"/>
    <w:rsid w:val="EFB24A29"/>
    <w:rsid w:val="EFBBE1F8"/>
    <w:rsid w:val="EFDD5E24"/>
    <w:rsid w:val="EFFE00E9"/>
    <w:rsid w:val="F0CF3F50"/>
    <w:rsid w:val="F2375A0C"/>
    <w:rsid w:val="F2FFB40E"/>
    <w:rsid w:val="F3466E81"/>
    <w:rsid w:val="F3AB2B7B"/>
    <w:rsid w:val="F3BF6DC3"/>
    <w:rsid w:val="F3FBAD9D"/>
    <w:rsid w:val="F43B3631"/>
    <w:rsid w:val="F52DF029"/>
    <w:rsid w:val="F5CF8395"/>
    <w:rsid w:val="F6BD0B87"/>
    <w:rsid w:val="F6BEAD5A"/>
    <w:rsid w:val="F6D73D1F"/>
    <w:rsid w:val="F6E541B9"/>
    <w:rsid w:val="F6F62788"/>
    <w:rsid w:val="F6FDB8E9"/>
    <w:rsid w:val="F6FF4B9D"/>
    <w:rsid w:val="F74F9F01"/>
    <w:rsid w:val="F7AE4D4B"/>
    <w:rsid w:val="F7AF78BD"/>
    <w:rsid w:val="F7B98AF7"/>
    <w:rsid w:val="F7DB4FA6"/>
    <w:rsid w:val="F7DB731F"/>
    <w:rsid w:val="F7DD5344"/>
    <w:rsid w:val="F7FE02C1"/>
    <w:rsid w:val="F7FF4C81"/>
    <w:rsid w:val="F7FF4D64"/>
    <w:rsid w:val="F7FF6C7F"/>
    <w:rsid w:val="F7FF6E80"/>
    <w:rsid w:val="F7FF7F5D"/>
    <w:rsid w:val="F8FFF232"/>
    <w:rsid w:val="F95F73AB"/>
    <w:rsid w:val="F9D7B98A"/>
    <w:rsid w:val="F9DF9BF2"/>
    <w:rsid w:val="F9F3F3F9"/>
    <w:rsid w:val="F9F9B078"/>
    <w:rsid w:val="F9FD9A94"/>
    <w:rsid w:val="F9FDEB09"/>
    <w:rsid w:val="F9FEB65C"/>
    <w:rsid w:val="FAB79F3F"/>
    <w:rsid w:val="FAB94BC2"/>
    <w:rsid w:val="FAFE5010"/>
    <w:rsid w:val="FAFF226F"/>
    <w:rsid w:val="FB9B843B"/>
    <w:rsid w:val="FB9E209A"/>
    <w:rsid w:val="FBADD21F"/>
    <w:rsid w:val="FBB27B3C"/>
    <w:rsid w:val="FBBFA87A"/>
    <w:rsid w:val="FBE7EF23"/>
    <w:rsid w:val="FBFF039C"/>
    <w:rsid w:val="FC1F3FC5"/>
    <w:rsid w:val="FC6F422E"/>
    <w:rsid w:val="FCB6A47F"/>
    <w:rsid w:val="FCEF19E0"/>
    <w:rsid w:val="FCEF1B99"/>
    <w:rsid w:val="FD0F1891"/>
    <w:rsid w:val="FD6FDD4B"/>
    <w:rsid w:val="FD7A8002"/>
    <w:rsid w:val="FDD3EB4A"/>
    <w:rsid w:val="FDDB3687"/>
    <w:rsid w:val="FDDF25DB"/>
    <w:rsid w:val="FDDFADA4"/>
    <w:rsid w:val="FDF3338E"/>
    <w:rsid w:val="FDFE5909"/>
    <w:rsid w:val="FDFF8D11"/>
    <w:rsid w:val="FDFFFCA3"/>
    <w:rsid w:val="FE1F065C"/>
    <w:rsid w:val="FE338A47"/>
    <w:rsid w:val="FE3F58E7"/>
    <w:rsid w:val="FE4F4980"/>
    <w:rsid w:val="FE7E40DC"/>
    <w:rsid w:val="FEA74910"/>
    <w:rsid w:val="FEB00458"/>
    <w:rsid w:val="FEBF7B62"/>
    <w:rsid w:val="FEDD6E8D"/>
    <w:rsid w:val="FEEDF064"/>
    <w:rsid w:val="FEEEF57E"/>
    <w:rsid w:val="FEF6A828"/>
    <w:rsid w:val="FF27A9DD"/>
    <w:rsid w:val="FF394475"/>
    <w:rsid w:val="FF3F0776"/>
    <w:rsid w:val="FF770374"/>
    <w:rsid w:val="FF77BDCE"/>
    <w:rsid w:val="FF7BFF70"/>
    <w:rsid w:val="FF7FB657"/>
    <w:rsid w:val="FF96E37A"/>
    <w:rsid w:val="FF97DFC7"/>
    <w:rsid w:val="FF9FFA46"/>
    <w:rsid w:val="FFAD3478"/>
    <w:rsid w:val="FFBF9EE4"/>
    <w:rsid w:val="FFD63AB3"/>
    <w:rsid w:val="FFD74F3C"/>
    <w:rsid w:val="FFD952F5"/>
    <w:rsid w:val="FFDB8D4E"/>
    <w:rsid w:val="FFE6F53D"/>
    <w:rsid w:val="FFEB8335"/>
    <w:rsid w:val="FFEF177F"/>
    <w:rsid w:val="FFEF416E"/>
    <w:rsid w:val="FFF3A885"/>
    <w:rsid w:val="FFF4868E"/>
    <w:rsid w:val="FFF6025C"/>
    <w:rsid w:val="FFFAB03C"/>
    <w:rsid w:val="FFFF2905"/>
    <w:rsid w:val="FFFF54C6"/>
    <w:rsid w:val="FFFFE6B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Times New Roman" w:cs="宋体"/>
      <w:color w:val="000000"/>
      <w:sz w:val="24"/>
      <w:szCs w:val="24"/>
      <w:lang w:val="en-US" w:eastAsia="zh-CN" w:bidi="ar-SA"/>
    </w:rPr>
  </w:style>
  <w:style w:type="paragraph" w:styleId="3">
    <w:name w:val="annotation text"/>
    <w:basedOn w:val="1"/>
    <w:qFormat/>
    <w:uiPriority w:val="0"/>
    <w:pPr>
      <w:jc w:val="left"/>
    </w:pPr>
  </w:style>
  <w:style w:type="paragraph" w:styleId="4">
    <w:name w:val="Body Text"/>
    <w:basedOn w:val="1"/>
    <w:semiHidden/>
    <w:qFormat/>
    <w:uiPriority w:val="0"/>
    <w:rPr>
      <w:rFonts w:ascii="Arial" w:hAnsi="Arial" w:eastAsia="Arial" w:cs="Arial"/>
      <w:sz w:val="21"/>
      <w:szCs w:val="21"/>
      <w:lang w:val="en-US" w:eastAsia="en-US"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DejaVu Sans" w:hAnsi="DejaVu Sans"/>
      <w:sz w:val="18"/>
    </w:rPr>
  </w:style>
  <w:style w:type="paragraph" w:styleId="7">
    <w:name w:val="Subtitle"/>
    <w:basedOn w:val="1"/>
    <w:next w:val="1"/>
    <w:qFormat/>
    <w:uiPriority w:val="11"/>
    <w:pPr>
      <w:spacing w:before="240" w:after="240" w:line="312" w:lineRule="auto"/>
      <w:jc w:val="center"/>
      <w:outlineLvl w:val="1"/>
    </w:pPr>
    <w:rPr>
      <w:rFonts w:ascii="等线" w:hAnsi="等线" w:eastAsia="等线"/>
      <w:kern w:val="28"/>
      <w:sz w:val="40"/>
      <w:szCs w:val="40"/>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customStyle="1" w:styleId="11">
    <w:name w:val="Table Normal"/>
    <w:unhideWhenUsed/>
    <w:qFormat/>
    <w:uiPriority w:val="0"/>
    <w:tblPr>
      <w:tblCellMar>
        <w:top w:w="0" w:type="dxa"/>
        <w:left w:w="0" w:type="dxa"/>
        <w:bottom w:w="0" w:type="dxa"/>
        <w:right w:w="0" w:type="dxa"/>
      </w:tblCellMar>
    </w:tblPr>
  </w:style>
  <w:style w:type="paragraph" w:customStyle="1" w:styleId="12">
    <w:name w:val="方正正文"/>
    <w:basedOn w:val="1"/>
    <w:qFormat/>
    <w:uiPriority w:val="0"/>
    <w:pPr>
      <w:snapToGrid w:val="0"/>
      <w:spacing w:line="319" w:lineRule="auto"/>
      <w:ind w:firstLine="200" w:firstLineChars="200"/>
    </w:pPr>
    <w:rPr>
      <w:rFonts w:ascii="Calibri" w:hAnsi="Calibri" w:eastAsia="方正仿宋" w:cs="Times New Roman"/>
      <w:sz w:val="32"/>
      <w:szCs w:val="22"/>
    </w:rPr>
  </w:style>
  <w:style w:type="character" w:customStyle="1" w:styleId="13">
    <w:name w:val="font11"/>
    <w:basedOn w:val="10"/>
    <w:qFormat/>
    <w:uiPriority w:val="0"/>
    <w:rPr>
      <w:rFonts w:hint="eastAsia" w:ascii="宋体" w:hAnsi="宋体" w:eastAsia="宋体" w:cs="宋体"/>
      <w:b/>
      <w:bCs/>
      <w:color w:val="000000"/>
      <w:sz w:val="24"/>
      <w:szCs w:val="24"/>
      <w:u w:val="none"/>
    </w:rPr>
  </w:style>
  <w:style w:type="character" w:customStyle="1" w:styleId="14">
    <w:name w:val="font21"/>
    <w:basedOn w:val="10"/>
    <w:qFormat/>
    <w:uiPriority w:val="0"/>
    <w:rPr>
      <w:rFonts w:hint="eastAsia" w:ascii="宋体" w:hAnsi="宋体" w:eastAsia="宋体" w:cs="宋体"/>
      <w:b/>
      <w:bCs/>
      <w:color w:val="000000"/>
      <w:sz w:val="24"/>
      <w:szCs w:val="24"/>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png"/><Relationship Id="rId24" Type="http://schemas.openxmlformats.org/officeDocument/2006/relationships/image" Target="media/image9.jpeg"/><Relationship Id="rId23" Type="http://schemas.openxmlformats.org/officeDocument/2006/relationships/image" Target="media/image8.png"/><Relationship Id="rId22" Type="http://schemas.openxmlformats.org/officeDocument/2006/relationships/image" Target="media/image7.jpeg"/><Relationship Id="rId21" Type="http://schemas.openxmlformats.org/officeDocument/2006/relationships/image" Target="media/image6.pn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TotalTime>
  <ScaleCrop>false</ScaleCrop>
  <LinksUpToDate>false</LinksUpToDate>
  <Application>WPS Office_11.8.2.12065_F1E327BC-269C-435d-A152-05C5408002CA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2024-08-11T00:33:00Z</dcterms:created>
  <dc:creator>Windows 用户</dc:creator>
  <cp:lastModifiedBy>yxyc</cp:lastModifiedBy>
  <dcterms:modified xsi:type="dcterms:W3CDTF">2025-08-29T15:19:02Z</dcterms:modified>
  <dc:title>云南省烟草专卖局关于印发云南省XX县（市、区）烟草制品零售点合理布局</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2024-07-20T20:35:03Z</vt:filetime>
  </property>
  <property fmtid="{D5CDD505-2E9C-101B-9397-08002B2CF9AE}" pid="4" name="KSOProductBuildVer">
    <vt:lpwstr>2052-11.8.2.12065</vt:lpwstr>
  </property>
  <property fmtid="{D5CDD505-2E9C-101B-9397-08002B2CF9AE}" pid="5" name="ICV">
    <vt:lpwstr>86842C142C1CABD510F99D665D84FCBF</vt:lpwstr>
  </property>
</Properties>
</file>