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sz w:val="36"/>
        </w:rPr>
      </w:pPr>
    </w:p>
    <w:p>
      <w:pPr>
        <w:spacing w:line="560" w:lineRule="exact"/>
        <w:jc w:val="center"/>
        <w:rPr>
          <w:sz w:val="36"/>
        </w:rPr>
      </w:pPr>
    </w:p>
    <w:p>
      <w:pPr>
        <w:spacing w:line="560" w:lineRule="exact"/>
        <w:jc w:val="center"/>
        <w:rPr>
          <w:sz w:val="36"/>
        </w:rPr>
      </w:pPr>
    </w:p>
    <w:p>
      <w:pPr>
        <w:spacing w:line="560" w:lineRule="exact"/>
        <w:jc w:val="center"/>
        <w:rPr>
          <w:sz w:val="32"/>
        </w:rPr>
      </w:pPr>
    </w:p>
    <w:p>
      <w:pPr>
        <w:spacing w:line="560" w:lineRule="exact"/>
        <w:jc w:val="center"/>
        <w:rPr>
          <w:sz w:val="32"/>
        </w:rPr>
      </w:pPr>
    </w:p>
    <w:p>
      <w:pPr>
        <w:spacing w:line="560" w:lineRule="exact"/>
        <w:jc w:val="center"/>
        <w:rPr>
          <w:sz w:val="48"/>
        </w:rPr>
      </w:pPr>
    </w:p>
    <w:p>
      <w:pPr>
        <w:spacing w:line="560" w:lineRule="exact"/>
        <w:jc w:val="center"/>
        <w:rPr>
          <w:sz w:val="48"/>
        </w:rPr>
      </w:pPr>
    </w:p>
    <w:p>
      <w:pPr>
        <w:spacing w:line="560" w:lineRule="exact"/>
        <w:jc w:val="center"/>
        <w:rPr>
          <w:sz w:val="48"/>
        </w:rPr>
      </w:pPr>
    </w:p>
    <w:p>
      <w:pPr>
        <w:spacing w:line="560" w:lineRule="exact"/>
        <w:ind w:firstLine="2880" w:firstLineChars="900"/>
        <w:rPr>
          <w:rFonts w:eastAsia="方正仿宋_GBK"/>
          <w:sz w:val="36"/>
        </w:rPr>
      </w:pPr>
      <w:r>
        <w:rPr>
          <w:rFonts w:hAnsi="方正仿宋_GBK" w:eastAsia="方正仿宋_GBK"/>
          <w:color w:val="000000"/>
          <w:sz w:val="32"/>
        </w:rPr>
        <w:t>玉环新局审〔</w:t>
      </w:r>
      <w:r>
        <w:rPr>
          <w:rFonts w:eastAsia="方正仿宋_GBK"/>
          <w:color w:val="000000"/>
          <w:sz w:val="32"/>
        </w:rPr>
        <w:t>2022</w:t>
      </w:r>
      <w:r>
        <w:rPr>
          <w:rFonts w:hAnsi="方正仿宋_GBK" w:eastAsia="方正仿宋_GBK"/>
          <w:color w:val="000000"/>
          <w:sz w:val="32"/>
        </w:rPr>
        <w:t>〕</w:t>
      </w:r>
      <w:r>
        <w:rPr>
          <w:rFonts w:hint="eastAsia" w:hAnsi="方正仿宋_GBK" w:eastAsia="方正仿宋_GBK"/>
          <w:color w:val="000000"/>
          <w:sz w:val="32"/>
        </w:rPr>
        <w:t>9</w:t>
      </w:r>
      <w:r>
        <w:rPr>
          <w:rFonts w:hAnsi="方正仿宋_GBK" w:eastAsia="方正仿宋_GBK"/>
          <w:color w:val="000000"/>
          <w:sz w:val="32"/>
        </w:rPr>
        <w:t>号</w:t>
      </w:r>
    </w:p>
    <w:p>
      <w:pPr>
        <w:spacing w:line="560" w:lineRule="exact"/>
        <w:jc w:val="center"/>
        <w:rPr>
          <w:rFonts w:eastAsia="仿宋_GB2312"/>
          <w:b/>
          <w:sz w:val="36"/>
          <w:szCs w:val="36"/>
        </w:rPr>
      </w:pPr>
    </w:p>
    <w:p>
      <w:pPr>
        <w:spacing w:line="560" w:lineRule="exact"/>
        <w:jc w:val="center"/>
        <w:rPr>
          <w:rFonts w:eastAsia="仿宋_GB2312"/>
          <w:b/>
          <w:sz w:val="36"/>
          <w:szCs w:val="36"/>
        </w:rPr>
      </w:pPr>
    </w:p>
    <w:p>
      <w:pPr>
        <w:spacing w:line="560" w:lineRule="exact"/>
        <w:jc w:val="center"/>
        <w:rPr>
          <w:rFonts w:eastAsia="方正小标宋_GBK"/>
          <w:kern w:val="0"/>
          <w:sz w:val="44"/>
          <w:szCs w:val="44"/>
        </w:rPr>
      </w:pPr>
      <w:r>
        <w:rPr>
          <w:rFonts w:eastAsia="方正小标宋_GBK"/>
          <w:kern w:val="0"/>
          <w:sz w:val="44"/>
          <w:szCs w:val="44"/>
        </w:rPr>
        <w:t>玉溪市生态环境局新平分局</w:t>
      </w:r>
    </w:p>
    <w:p>
      <w:pPr>
        <w:spacing w:line="560" w:lineRule="exact"/>
        <w:jc w:val="center"/>
        <w:rPr>
          <w:rFonts w:eastAsia="方正小标宋_GBK"/>
          <w:kern w:val="0"/>
          <w:sz w:val="44"/>
          <w:szCs w:val="44"/>
        </w:rPr>
      </w:pPr>
      <w:r>
        <w:rPr>
          <w:rFonts w:eastAsia="方正小标宋_GBK"/>
          <w:kern w:val="0"/>
          <w:sz w:val="44"/>
          <w:szCs w:val="44"/>
        </w:rPr>
        <w:t>关于</w:t>
      </w:r>
      <w:r>
        <w:rPr>
          <w:rFonts w:hint="eastAsia" w:eastAsia="方正小标宋_GBK"/>
          <w:kern w:val="0"/>
          <w:sz w:val="44"/>
          <w:szCs w:val="44"/>
        </w:rPr>
        <w:t>云南新平南恩糖纸有限责任公司双脚树箐固体废物填埋场工程建设项目</w:t>
      </w:r>
      <w:r>
        <w:rPr>
          <w:rFonts w:eastAsia="方正小标宋_GBK"/>
          <w:kern w:val="0"/>
          <w:sz w:val="44"/>
          <w:szCs w:val="44"/>
        </w:rPr>
        <w:t>环境影响</w:t>
      </w:r>
    </w:p>
    <w:p>
      <w:pPr>
        <w:spacing w:line="560" w:lineRule="exact"/>
        <w:jc w:val="center"/>
        <w:rPr>
          <w:rFonts w:eastAsia="方正小标宋_GBK"/>
          <w:kern w:val="0"/>
          <w:sz w:val="44"/>
          <w:szCs w:val="44"/>
        </w:rPr>
      </w:pPr>
      <w:r>
        <w:rPr>
          <w:rFonts w:eastAsia="方正小标宋_GBK"/>
          <w:kern w:val="0"/>
          <w:sz w:val="44"/>
          <w:szCs w:val="44"/>
        </w:rPr>
        <w:t>报告书的批复</w:t>
      </w:r>
    </w:p>
    <w:p>
      <w:pPr>
        <w:spacing w:line="560" w:lineRule="exact"/>
        <w:jc w:val="center"/>
        <w:rPr>
          <w:rFonts w:eastAsia="方正小标宋简体"/>
          <w:b/>
          <w:bCs/>
          <w:kern w:val="0"/>
          <w:sz w:val="44"/>
          <w:szCs w:val="44"/>
        </w:rPr>
      </w:pPr>
    </w:p>
    <w:p>
      <w:pPr>
        <w:snapToGrid w:val="0"/>
        <w:spacing w:line="560" w:lineRule="exact"/>
        <w:jc w:val="left"/>
        <w:rPr>
          <w:rFonts w:hAnsi="方正仿宋_GBK" w:eastAsia="方正仿宋_GBK"/>
          <w:bCs/>
          <w:kern w:val="0"/>
          <w:sz w:val="32"/>
          <w:szCs w:val="32"/>
        </w:rPr>
      </w:pPr>
      <w:r>
        <w:rPr>
          <w:rFonts w:hAnsi="方正仿宋_GBK" w:eastAsia="方正仿宋_GBK"/>
          <w:bCs/>
          <w:kern w:val="0"/>
          <w:sz w:val="32"/>
          <w:szCs w:val="32"/>
        </w:rPr>
        <w:t>云南新平南恩糖纸有限责任公司</w:t>
      </w:r>
      <w:r>
        <w:rPr>
          <w:rFonts w:hint="eastAsia" w:hAnsi="方正仿宋_GBK" w:eastAsia="方正仿宋_GBK"/>
          <w:bCs/>
          <w:kern w:val="0"/>
          <w:sz w:val="32"/>
          <w:szCs w:val="32"/>
        </w:rPr>
        <w:t>：</w:t>
      </w:r>
    </w:p>
    <w:p>
      <w:pPr>
        <w:spacing w:line="560" w:lineRule="exact"/>
        <w:rPr>
          <w:rFonts w:hAnsi="方正仿宋_GBK" w:eastAsia="方正仿宋_GBK"/>
          <w:bCs/>
          <w:kern w:val="0"/>
          <w:sz w:val="32"/>
          <w:szCs w:val="32"/>
        </w:rPr>
      </w:pPr>
      <w:r>
        <w:rPr>
          <w:rFonts w:eastAsia="方正仿宋_GBK"/>
          <w:bCs/>
          <w:kern w:val="0"/>
          <w:sz w:val="32"/>
          <w:szCs w:val="32"/>
        </w:rPr>
        <w:t xml:space="preserve">    </w:t>
      </w:r>
      <w:r>
        <w:rPr>
          <w:rFonts w:hAnsi="方正仿宋_GBK" w:eastAsia="方正仿宋_GBK"/>
          <w:bCs/>
          <w:kern w:val="0"/>
          <w:sz w:val="32"/>
          <w:szCs w:val="32"/>
        </w:rPr>
        <w:t>你公司委托云南博曦环境影响评价有限公司编制的《</w:t>
      </w:r>
      <w:r>
        <w:rPr>
          <w:rFonts w:hint="eastAsia" w:hAnsi="方正仿宋_GBK" w:eastAsia="方正仿宋_GBK"/>
          <w:bCs/>
          <w:kern w:val="0"/>
          <w:sz w:val="32"/>
          <w:szCs w:val="32"/>
        </w:rPr>
        <w:t>云南新平南恩糖纸有限责任公司双脚树箐固体废物填埋场工程建设项目环境影响报告书</w:t>
      </w:r>
      <w:r>
        <w:rPr>
          <w:rFonts w:hAnsi="方正仿宋_GBK" w:eastAsia="方正仿宋_GBK"/>
          <w:bCs/>
          <w:kern w:val="0"/>
          <w:sz w:val="32"/>
          <w:szCs w:val="32"/>
        </w:rPr>
        <w:t>》（以下简称《报告书》）及项目报批申请等</w:t>
      </w:r>
      <w:r>
        <w:rPr>
          <w:rFonts w:hint="eastAsia" w:hAnsi="方正仿宋_GBK" w:eastAsia="方正仿宋_GBK"/>
          <w:bCs/>
          <w:kern w:val="0"/>
          <w:sz w:val="32"/>
          <w:szCs w:val="32"/>
        </w:rPr>
        <w:t>材料已</w:t>
      </w:r>
      <w:r>
        <w:rPr>
          <w:rFonts w:hAnsi="方正仿宋_GBK" w:eastAsia="方正仿宋_GBK"/>
          <w:bCs/>
          <w:kern w:val="0"/>
          <w:sz w:val="32"/>
          <w:szCs w:val="32"/>
        </w:rPr>
        <w:t>收悉</w:t>
      </w:r>
      <w:r>
        <w:rPr>
          <w:rFonts w:hint="eastAsia" w:hAnsi="方正仿宋_GBK" w:eastAsia="方正仿宋_GBK"/>
          <w:bCs/>
          <w:kern w:val="0"/>
          <w:sz w:val="32"/>
          <w:szCs w:val="32"/>
        </w:rPr>
        <w:t>。</w:t>
      </w:r>
      <w:r>
        <w:rPr>
          <w:rFonts w:hAnsi="方正仿宋_GBK" w:eastAsia="方正仿宋_GBK"/>
          <w:bCs/>
          <w:kern w:val="0"/>
          <w:sz w:val="32"/>
          <w:szCs w:val="32"/>
        </w:rPr>
        <w:t>经我局建设项目环境影响评价审查委员会审查，</w:t>
      </w:r>
      <w:r>
        <w:rPr>
          <w:rFonts w:hint="eastAsia" w:hAnsi="方正仿宋_GBK" w:eastAsia="方正仿宋_GBK"/>
          <w:bCs/>
          <w:kern w:val="0"/>
          <w:sz w:val="32"/>
          <w:szCs w:val="32"/>
        </w:rPr>
        <w:t>批复</w:t>
      </w:r>
      <w:r>
        <w:rPr>
          <w:rFonts w:hAnsi="方正仿宋_GBK" w:eastAsia="方正仿宋_GBK"/>
          <w:bCs/>
          <w:kern w:val="0"/>
          <w:sz w:val="32"/>
          <w:szCs w:val="32"/>
        </w:rPr>
        <w:t>如下：</w:t>
      </w:r>
    </w:p>
    <w:p>
      <w:pPr>
        <w:snapToGrid w:val="0"/>
        <w:spacing w:line="560" w:lineRule="exact"/>
        <w:ind w:firstLine="640" w:firstLineChars="200"/>
        <w:jc w:val="left"/>
        <w:rPr>
          <w:rFonts w:eastAsia="方正仿宋_GBK"/>
          <w:bCs/>
          <w:sz w:val="32"/>
          <w:szCs w:val="32"/>
        </w:rPr>
      </w:pPr>
      <w:r>
        <w:rPr>
          <w:rFonts w:hAnsi="方正仿宋_GBK" w:eastAsia="方正仿宋_GBK"/>
          <w:bCs/>
          <w:kern w:val="0"/>
          <w:sz w:val="32"/>
          <w:szCs w:val="32"/>
        </w:rPr>
        <w:t>一、根据《报告书》结论、技术评审意见，原则同</w:t>
      </w:r>
      <w:r>
        <w:rPr>
          <w:rFonts w:hint="eastAsia" w:hAnsi="方正仿宋_GBK" w:eastAsia="方正仿宋_GBK"/>
          <w:bCs/>
          <w:kern w:val="0"/>
          <w:sz w:val="32"/>
          <w:szCs w:val="32"/>
        </w:rPr>
        <w:t>意云南新平南恩糖纸有限责任公司（以下简称，南恩公司）双脚树箐固体废物填埋场工程建设项目</w:t>
      </w:r>
      <w:r>
        <w:rPr>
          <w:rFonts w:hAnsi="方正仿宋_GBK" w:eastAsia="方正仿宋_GBK"/>
          <w:bCs/>
          <w:kern w:val="0"/>
          <w:sz w:val="32"/>
          <w:szCs w:val="32"/>
        </w:rPr>
        <w:t>按《报告书》中所述的内容、性质、规模、地</w:t>
      </w:r>
      <w:r>
        <w:rPr>
          <w:rFonts w:eastAsia="方正仿宋_GBK"/>
          <w:bCs/>
          <w:sz w:val="32"/>
          <w:szCs w:val="32"/>
        </w:rPr>
        <w:t>点和环境保护对策措施进行项目建设。报批的《报告书》经批复后可作为该项目设计、建设、竣工环境保护验收及日常运行管理的依据。</w:t>
      </w:r>
    </w:p>
    <w:p>
      <w:pPr>
        <w:snapToGrid w:val="0"/>
        <w:spacing w:line="560" w:lineRule="exact"/>
        <w:ind w:firstLine="640" w:firstLineChars="200"/>
        <w:rPr>
          <w:rFonts w:hAnsi="方正仿宋_GBK" w:eastAsia="方正仿宋_GBK"/>
          <w:bCs/>
          <w:kern w:val="0"/>
          <w:sz w:val="32"/>
          <w:szCs w:val="32"/>
        </w:rPr>
      </w:pPr>
      <w:r>
        <w:rPr>
          <w:rFonts w:hint="eastAsia" w:eastAsia="方正仿宋_GBK"/>
          <w:bCs/>
          <w:sz w:val="32"/>
          <w:szCs w:val="32"/>
        </w:rPr>
        <w:t>二、</w:t>
      </w:r>
      <w:r>
        <w:rPr>
          <w:rFonts w:hAnsi="方正仿宋_GBK" w:eastAsia="方正仿宋_GBK"/>
          <w:bCs/>
          <w:kern w:val="0"/>
          <w:sz w:val="32"/>
          <w:szCs w:val="32"/>
        </w:rPr>
        <w:t>该项目位于云南省玉溪市新平县戛洒镇耀南村委会南恩村双脚树箐</w:t>
      </w:r>
      <w:r>
        <w:rPr>
          <w:rFonts w:hint="eastAsia" w:hAnsi="方正仿宋_GBK" w:eastAsia="方正仿宋_GBK"/>
          <w:bCs/>
          <w:kern w:val="0"/>
          <w:sz w:val="32"/>
          <w:szCs w:val="32"/>
        </w:rPr>
        <w:t>，</w:t>
      </w:r>
      <w:r>
        <w:rPr>
          <w:rFonts w:hint="eastAsia" w:ascii="方正仿宋_GBK" w:hAnsi="方正仿宋_GBK" w:eastAsia="方正仿宋_GBK" w:cs="方正仿宋_GBK"/>
          <w:bCs/>
          <w:kern w:val="0"/>
          <w:sz w:val="32"/>
          <w:szCs w:val="32"/>
        </w:rPr>
        <w:t>位于新平工业园区戛洒片区内</w:t>
      </w:r>
      <w:r>
        <w:rPr>
          <w:rFonts w:hint="eastAsia" w:hAnsi="方正仿宋_GBK" w:eastAsia="方正仿宋_GBK"/>
          <w:bCs/>
          <w:kern w:val="0"/>
          <w:sz w:val="32"/>
          <w:szCs w:val="32"/>
        </w:rPr>
        <w:t>，用地性质为工业用地。项目于</w:t>
      </w:r>
      <w:r>
        <w:rPr>
          <w:rFonts w:hAnsi="方正仿宋_GBK" w:eastAsia="方正仿宋_GBK"/>
          <w:bCs/>
          <w:kern w:val="0"/>
          <w:sz w:val="32"/>
          <w:szCs w:val="32"/>
        </w:rPr>
        <w:t>2021</w:t>
      </w:r>
      <w:r>
        <w:rPr>
          <w:rFonts w:hint="eastAsia" w:hAnsi="方正仿宋_GBK" w:eastAsia="方正仿宋_GBK"/>
          <w:bCs/>
          <w:kern w:val="0"/>
          <w:sz w:val="32"/>
          <w:szCs w:val="32"/>
        </w:rPr>
        <w:t>年</w:t>
      </w:r>
      <w:r>
        <w:rPr>
          <w:rFonts w:hAnsi="方正仿宋_GBK" w:eastAsia="方正仿宋_GBK"/>
          <w:bCs/>
          <w:kern w:val="0"/>
          <w:sz w:val="32"/>
          <w:szCs w:val="32"/>
        </w:rPr>
        <w:t>10</w:t>
      </w:r>
      <w:r>
        <w:rPr>
          <w:rFonts w:hint="eastAsia" w:hAnsi="方正仿宋_GBK" w:eastAsia="方正仿宋_GBK"/>
          <w:bCs/>
          <w:kern w:val="0"/>
          <w:sz w:val="32"/>
          <w:szCs w:val="32"/>
        </w:rPr>
        <w:t>月</w:t>
      </w:r>
      <w:r>
        <w:rPr>
          <w:rFonts w:hAnsi="方正仿宋_GBK" w:eastAsia="方正仿宋_GBK"/>
          <w:bCs/>
          <w:kern w:val="0"/>
          <w:sz w:val="32"/>
          <w:szCs w:val="32"/>
        </w:rPr>
        <w:t>21</w:t>
      </w:r>
      <w:r>
        <w:rPr>
          <w:rFonts w:hint="eastAsia" w:hAnsi="方正仿宋_GBK" w:eastAsia="方正仿宋_GBK"/>
          <w:bCs/>
          <w:kern w:val="0"/>
          <w:sz w:val="32"/>
          <w:szCs w:val="32"/>
        </w:rPr>
        <w:t>日在全国投资项目在线审批监管平台（云南）完成备案，取得《云南省固定资产投资项目备案证》（新发改投资备案〔</w:t>
      </w:r>
      <w:r>
        <w:rPr>
          <w:rFonts w:hAnsi="方正仿宋_GBK" w:eastAsia="方正仿宋_GBK"/>
          <w:bCs/>
          <w:kern w:val="0"/>
          <w:sz w:val="32"/>
          <w:szCs w:val="32"/>
        </w:rPr>
        <w:t>2021</w:t>
      </w:r>
      <w:r>
        <w:rPr>
          <w:rFonts w:hint="eastAsia" w:hAnsi="方正仿宋_GBK" w:eastAsia="方正仿宋_GBK"/>
          <w:bCs/>
          <w:kern w:val="0"/>
          <w:sz w:val="32"/>
          <w:szCs w:val="32"/>
        </w:rPr>
        <w:t>〕</w:t>
      </w:r>
      <w:r>
        <w:rPr>
          <w:rFonts w:hAnsi="方正仿宋_GBK" w:eastAsia="方正仿宋_GBK"/>
          <w:bCs/>
          <w:kern w:val="0"/>
          <w:sz w:val="32"/>
          <w:szCs w:val="32"/>
        </w:rPr>
        <w:t>185</w:t>
      </w:r>
      <w:r>
        <w:rPr>
          <w:rFonts w:hint="eastAsia" w:hAnsi="方正仿宋_GBK" w:eastAsia="方正仿宋_GBK"/>
          <w:bCs/>
          <w:kern w:val="0"/>
          <w:sz w:val="32"/>
          <w:szCs w:val="32"/>
        </w:rPr>
        <w:t>号），项目代码：</w:t>
      </w:r>
      <w:r>
        <w:rPr>
          <w:rFonts w:hAnsi="方正仿宋_GBK" w:eastAsia="方正仿宋_GBK"/>
          <w:bCs/>
          <w:kern w:val="0"/>
          <w:sz w:val="32"/>
          <w:szCs w:val="32"/>
        </w:rPr>
        <w:t>2110-530427-04-01-471367</w:t>
      </w:r>
      <w:r>
        <w:rPr>
          <w:rFonts w:hint="eastAsia" w:hAnsi="方正仿宋_GBK" w:eastAsia="方正仿宋_GBK"/>
          <w:bCs/>
          <w:kern w:val="0"/>
          <w:sz w:val="32"/>
          <w:szCs w:val="32"/>
        </w:rPr>
        <w:t>。建设性质为新建。建设规模及内容：项目占地面积</w:t>
      </w:r>
      <w:r>
        <w:rPr>
          <w:rFonts w:hAnsi="方正仿宋_GBK" w:eastAsia="方正仿宋_GBK"/>
          <w:bCs/>
          <w:kern w:val="0"/>
          <w:sz w:val="32"/>
          <w:szCs w:val="32"/>
        </w:rPr>
        <w:t>30974</w:t>
      </w:r>
      <w:r>
        <w:rPr>
          <w:rFonts w:hint="eastAsia" w:hAnsi="方正仿宋_GBK" w:eastAsia="方正仿宋_GBK"/>
          <w:bCs/>
          <w:kern w:val="0"/>
          <w:sz w:val="32"/>
          <w:szCs w:val="32"/>
        </w:rPr>
        <w:t>平方米，固体废物填埋场主要堆存南恩公司生产过程中产生的白泥、绿泥、石灰渣及锅炉灰渣等固体废弃物。项目规模为</w:t>
      </w:r>
      <w:r>
        <w:rPr>
          <w:rFonts w:hAnsi="方正仿宋_GBK" w:eastAsia="方正仿宋_GBK"/>
          <w:bCs/>
          <w:kern w:val="0"/>
          <w:sz w:val="32"/>
          <w:szCs w:val="32"/>
        </w:rPr>
        <w:t>15</w:t>
      </w:r>
      <w:r>
        <w:rPr>
          <w:rFonts w:hint="eastAsia" w:hAnsi="方正仿宋_GBK" w:eastAsia="方正仿宋_GBK"/>
          <w:bCs/>
          <w:kern w:val="0"/>
          <w:sz w:val="32"/>
          <w:szCs w:val="32"/>
        </w:rPr>
        <w:t>万立方米固体废物填埋场，按第一阶段三年堆存期每年堆存</w:t>
      </w:r>
      <w:r>
        <w:rPr>
          <w:rFonts w:hAnsi="方正仿宋_GBK" w:eastAsia="方正仿宋_GBK"/>
          <w:bCs/>
          <w:kern w:val="0"/>
          <w:sz w:val="32"/>
          <w:szCs w:val="32"/>
        </w:rPr>
        <w:t>1.2</w:t>
      </w:r>
      <w:r>
        <w:rPr>
          <w:rFonts w:hint="eastAsia" w:hAnsi="方正仿宋_GBK" w:eastAsia="方正仿宋_GBK"/>
          <w:bCs/>
          <w:kern w:val="0"/>
          <w:sz w:val="32"/>
          <w:szCs w:val="32"/>
        </w:rPr>
        <w:t>万立方米，第二阶段六年堆存期每年堆存</w:t>
      </w:r>
      <w:r>
        <w:rPr>
          <w:rFonts w:hAnsi="方正仿宋_GBK" w:eastAsia="方正仿宋_GBK"/>
          <w:bCs/>
          <w:kern w:val="0"/>
          <w:sz w:val="32"/>
          <w:szCs w:val="32"/>
        </w:rPr>
        <w:t>1.75</w:t>
      </w:r>
      <w:r>
        <w:rPr>
          <w:rFonts w:hint="eastAsia" w:hAnsi="方正仿宋_GBK" w:eastAsia="方正仿宋_GBK"/>
          <w:bCs/>
          <w:kern w:val="0"/>
          <w:sz w:val="32"/>
          <w:szCs w:val="32"/>
        </w:rPr>
        <w:t>万立方米计算，项目设计可使用年限</w:t>
      </w:r>
      <w:r>
        <w:rPr>
          <w:rFonts w:hAnsi="方正仿宋_GBK" w:eastAsia="方正仿宋_GBK"/>
          <w:bCs/>
          <w:kern w:val="0"/>
          <w:sz w:val="32"/>
          <w:szCs w:val="32"/>
        </w:rPr>
        <w:t>9</w:t>
      </w:r>
      <w:r>
        <w:rPr>
          <w:rFonts w:hint="eastAsia" w:hAnsi="方正仿宋_GBK" w:eastAsia="方正仿宋_GBK"/>
          <w:bCs/>
          <w:kern w:val="0"/>
          <w:sz w:val="32"/>
          <w:szCs w:val="32"/>
        </w:rPr>
        <w:t>年及以上。本项目建设内容包括：固体废物填埋库区、固体废物拦渣坝（最大高度约</w:t>
      </w:r>
      <w:r>
        <w:rPr>
          <w:rFonts w:hAnsi="方正仿宋_GBK" w:eastAsia="方正仿宋_GBK"/>
          <w:bCs/>
          <w:kern w:val="0"/>
          <w:sz w:val="32"/>
          <w:szCs w:val="32"/>
        </w:rPr>
        <w:t>18</w:t>
      </w:r>
      <w:r>
        <w:rPr>
          <w:rFonts w:hint="eastAsia" w:hAnsi="方正仿宋_GBK" w:eastAsia="方正仿宋_GBK"/>
          <w:bCs/>
          <w:kern w:val="0"/>
          <w:sz w:val="32"/>
          <w:szCs w:val="32"/>
        </w:rPr>
        <w:t>米）、库区左侧截洪沟、库区右侧雨水导流渠、渗滤液导流管、堆场底部雨水导流管、马道排水沟、拦渣坝底渗滤液收集池、库底及库区边坡防渗工程等。项目总投资</w:t>
      </w:r>
      <w:r>
        <w:rPr>
          <w:rFonts w:hAnsi="方正仿宋_GBK" w:eastAsia="方正仿宋_GBK"/>
          <w:bCs/>
          <w:kern w:val="0"/>
          <w:sz w:val="32"/>
          <w:szCs w:val="32"/>
        </w:rPr>
        <w:t>2069.08</w:t>
      </w:r>
      <w:r>
        <w:rPr>
          <w:rFonts w:hint="eastAsia" w:hAnsi="方正仿宋_GBK" w:eastAsia="方正仿宋_GBK"/>
          <w:bCs/>
          <w:kern w:val="0"/>
          <w:sz w:val="32"/>
          <w:szCs w:val="32"/>
        </w:rPr>
        <w:t>万元，其中环保投资</w:t>
      </w:r>
      <w:r>
        <w:rPr>
          <w:rFonts w:hAnsi="方正仿宋_GBK" w:eastAsia="方正仿宋_GBK"/>
          <w:bCs/>
          <w:kern w:val="0"/>
          <w:sz w:val="32"/>
          <w:szCs w:val="32"/>
        </w:rPr>
        <w:t>530.25</w:t>
      </w:r>
      <w:r>
        <w:rPr>
          <w:rFonts w:hint="eastAsia" w:hAnsi="方正仿宋_GBK" w:eastAsia="方正仿宋_GBK"/>
          <w:bCs/>
          <w:kern w:val="0"/>
          <w:sz w:val="32"/>
          <w:szCs w:val="32"/>
        </w:rPr>
        <w:t>万元，环保投资比例为</w:t>
      </w:r>
      <w:r>
        <w:rPr>
          <w:rFonts w:hAnsi="方正仿宋_GBK" w:eastAsia="方正仿宋_GBK"/>
          <w:bCs/>
          <w:kern w:val="0"/>
          <w:sz w:val="32"/>
          <w:szCs w:val="32"/>
        </w:rPr>
        <w:t>25.63</w:t>
      </w:r>
      <w:r>
        <w:rPr>
          <w:rFonts w:hint="eastAsia" w:hAnsi="方正仿宋_GBK" w:eastAsia="方正仿宋_GBK"/>
          <w:bCs/>
          <w:kern w:val="0"/>
          <w:sz w:val="32"/>
          <w:szCs w:val="32"/>
        </w:rPr>
        <w:t>％。</w:t>
      </w:r>
    </w:p>
    <w:p>
      <w:pPr>
        <w:snapToGrid w:val="0"/>
        <w:spacing w:line="560" w:lineRule="exact"/>
        <w:ind w:firstLine="640" w:firstLineChars="200"/>
        <w:rPr>
          <w:rFonts w:eastAsia="方正仿宋_GBK"/>
          <w:bCs/>
          <w:sz w:val="32"/>
          <w:szCs w:val="32"/>
        </w:rPr>
      </w:pPr>
      <w:r>
        <w:rPr>
          <w:rFonts w:eastAsia="方正仿宋_GBK"/>
          <w:bCs/>
          <w:sz w:val="32"/>
          <w:szCs w:val="32"/>
        </w:rPr>
        <w:t>三、要求你公司在项目建设和运营过程中重点做好以下工作：</w:t>
      </w:r>
    </w:p>
    <w:p>
      <w:pPr>
        <w:snapToGrid w:val="0"/>
        <w:spacing w:line="560" w:lineRule="exact"/>
        <w:ind w:firstLine="640" w:firstLineChars="200"/>
        <w:jc w:val="left"/>
        <w:rPr>
          <w:rFonts w:eastAsia="方正仿宋_GBK"/>
          <w:bCs/>
          <w:sz w:val="32"/>
          <w:szCs w:val="32"/>
        </w:rPr>
      </w:pPr>
      <w:r>
        <w:rPr>
          <w:rFonts w:eastAsia="方正仿宋_GBK"/>
          <w:bCs/>
          <w:sz w:val="32"/>
          <w:szCs w:val="32"/>
        </w:rPr>
        <w:t>（一）</w:t>
      </w:r>
      <w:r>
        <w:rPr>
          <w:rFonts w:hAnsi="方正仿宋_GBK" w:eastAsia="方正仿宋_GBK"/>
          <w:bCs/>
          <w:kern w:val="0"/>
          <w:sz w:val="32"/>
          <w:szCs w:val="32"/>
        </w:rPr>
        <w:t>项目必须严格落实《报告书》中的各项生态环境保护设施及污染防治对策措施，项目建设和运行不得降低区域环境功能，环境质量标准和排放标准按《报告书》中所列的标准执行。</w:t>
      </w:r>
    </w:p>
    <w:p>
      <w:pPr>
        <w:snapToGrid w:val="0"/>
        <w:spacing w:line="560" w:lineRule="exact"/>
        <w:ind w:firstLine="640" w:firstLineChars="200"/>
        <w:jc w:val="left"/>
        <w:rPr>
          <w:rFonts w:eastAsia="方正仿宋_GBK"/>
          <w:bCs/>
          <w:sz w:val="32"/>
          <w:szCs w:val="32"/>
        </w:rPr>
      </w:pPr>
      <w:r>
        <w:rPr>
          <w:rFonts w:eastAsia="方正仿宋_GBK"/>
          <w:bCs/>
          <w:sz w:val="32"/>
          <w:szCs w:val="32"/>
        </w:rPr>
        <w:t>（二）必须严格做好项目施工期间的各项环境保护工作，落实扬尘、废水、固废、噪声等污染防治措施及各项生态保护措施，清洁文明施工，严防施工期对环境保护目标及周围环境造成污染，对生态环境造成破坏。</w:t>
      </w:r>
    </w:p>
    <w:p>
      <w:pPr>
        <w:spacing w:line="560" w:lineRule="exact"/>
        <w:ind w:firstLine="640" w:firstLineChars="200"/>
        <w:rPr>
          <w:rFonts w:eastAsia="方正仿宋_GBK"/>
          <w:bCs/>
          <w:sz w:val="32"/>
          <w:szCs w:val="32"/>
        </w:rPr>
      </w:pPr>
      <w:r>
        <w:rPr>
          <w:rFonts w:hint="eastAsia" w:eastAsia="方正仿宋_GBK"/>
          <w:bCs/>
          <w:sz w:val="32"/>
          <w:szCs w:val="32"/>
        </w:rPr>
        <w:t>（三）严格落实大气污染防治措施。</w:t>
      </w:r>
      <w:r>
        <w:rPr>
          <w:rFonts w:eastAsia="方正仿宋_GBK"/>
          <w:bCs/>
          <w:sz w:val="32"/>
          <w:szCs w:val="32"/>
        </w:rPr>
        <w:t>严格落实渣场洒水抑尘</w:t>
      </w:r>
      <w:r>
        <w:rPr>
          <w:rFonts w:hint="eastAsia" w:eastAsia="方正仿宋_GBK"/>
          <w:bCs/>
          <w:sz w:val="32"/>
          <w:szCs w:val="32"/>
        </w:rPr>
        <w:t>、</w:t>
      </w:r>
      <w:r>
        <w:rPr>
          <w:rFonts w:eastAsia="方正仿宋_GBK"/>
          <w:bCs/>
          <w:sz w:val="32"/>
          <w:szCs w:val="32"/>
        </w:rPr>
        <w:t>运输道路洒水抑尘</w:t>
      </w:r>
      <w:r>
        <w:rPr>
          <w:rFonts w:hint="eastAsia" w:eastAsia="方正仿宋_GBK"/>
          <w:bCs/>
          <w:sz w:val="32"/>
          <w:szCs w:val="32"/>
        </w:rPr>
        <w:t>，运输车辆密闭运输等防治措施</w:t>
      </w:r>
      <w:r>
        <w:rPr>
          <w:rFonts w:hint="eastAsia" w:ascii="方正仿宋_GBK" w:hAnsi="仿宋" w:eastAsia="方正仿宋_GBK"/>
          <w:sz w:val="32"/>
          <w:szCs w:val="32"/>
        </w:rPr>
        <w:t>，</w:t>
      </w:r>
      <w:r>
        <w:rPr>
          <w:rFonts w:eastAsia="方正仿宋_GBK"/>
          <w:bCs/>
          <w:sz w:val="32"/>
          <w:szCs w:val="32"/>
        </w:rPr>
        <w:t>加强道路养护，保持运输道路清洁，</w:t>
      </w:r>
      <w:r>
        <w:rPr>
          <w:rFonts w:hint="eastAsia" w:eastAsia="方正仿宋_GBK"/>
          <w:bCs/>
          <w:sz w:val="32"/>
          <w:szCs w:val="32"/>
        </w:rPr>
        <w:t>确保项目无组织排放粉尘达到《大气污染物综合排放标准》（GB16297－1996）表2中无组织排放监控浓度限值。</w:t>
      </w:r>
    </w:p>
    <w:p>
      <w:pPr>
        <w:widowControl/>
        <w:tabs>
          <w:tab w:val="left" w:pos="4404"/>
        </w:tabs>
        <w:overflowPunct w:val="0"/>
        <w:autoSpaceDE w:val="0"/>
        <w:autoSpaceDN w:val="0"/>
        <w:adjustRightInd w:val="0"/>
        <w:spacing w:line="560" w:lineRule="exact"/>
        <w:ind w:firstLine="640" w:firstLineChars="200"/>
        <w:rPr>
          <w:rFonts w:eastAsia="方正仿宋_GBK"/>
          <w:bCs/>
          <w:sz w:val="32"/>
          <w:szCs w:val="32"/>
        </w:rPr>
      </w:pPr>
      <w:r>
        <w:rPr>
          <w:rFonts w:hint="eastAsia" w:eastAsia="方正仿宋_GBK"/>
          <w:bCs/>
          <w:sz w:val="32"/>
          <w:szCs w:val="32"/>
        </w:rPr>
        <w:t>（四）严格落实水污染防治措施。项目运营期产生的废水主要为生活废水、渗滤液。项目</w:t>
      </w:r>
      <w:r>
        <w:rPr>
          <w:rFonts w:eastAsia="方正仿宋_GBK"/>
          <w:bCs/>
          <w:sz w:val="32"/>
          <w:szCs w:val="32"/>
        </w:rPr>
        <w:t>设置1个容积为5立方米的化粪池，生活污水经化粪池收集后定期委托周边农户清掏做肥料，不外排</w:t>
      </w:r>
      <w:r>
        <w:rPr>
          <w:rFonts w:hint="eastAsia" w:eastAsia="方正仿宋_GBK"/>
          <w:bCs/>
          <w:sz w:val="32"/>
          <w:szCs w:val="32"/>
        </w:rPr>
        <w:t>；设置</w:t>
      </w:r>
      <w:r>
        <w:rPr>
          <w:rFonts w:eastAsia="方正仿宋_GBK"/>
          <w:bCs/>
          <w:sz w:val="32"/>
          <w:szCs w:val="32"/>
        </w:rPr>
        <w:t>1个容积为800立方米的渗滤液</w:t>
      </w:r>
      <w:r>
        <w:rPr>
          <w:rFonts w:hint="eastAsia" w:eastAsia="方正仿宋_GBK"/>
          <w:bCs/>
          <w:sz w:val="32"/>
          <w:szCs w:val="32"/>
        </w:rPr>
        <w:t>收集池</w:t>
      </w:r>
      <w:r>
        <w:rPr>
          <w:rFonts w:eastAsia="方正仿宋_GBK"/>
          <w:bCs/>
          <w:sz w:val="32"/>
          <w:szCs w:val="32"/>
        </w:rPr>
        <w:t>，渣场渗滤液经导流管进入渗滤液收集池，定期由罐车运输送至现有厂区污水处理站（位于大槟榔园）处理</w:t>
      </w:r>
      <w:r>
        <w:rPr>
          <w:rFonts w:hint="eastAsia" w:eastAsia="方正仿宋_GBK"/>
          <w:bCs/>
          <w:sz w:val="32"/>
          <w:szCs w:val="32"/>
        </w:rPr>
        <w:t>；</w:t>
      </w:r>
      <w:r>
        <w:rPr>
          <w:rFonts w:eastAsia="方正仿宋_GBK"/>
          <w:bCs/>
          <w:sz w:val="32"/>
          <w:szCs w:val="32"/>
        </w:rPr>
        <w:t>后期公司搬迁项目污水处理站建成后</w:t>
      </w:r>
      <w:r>
        <w:rPr>
          <w:rFonts w:hint="eastAsia" w:eastAsia="方正仿宋_GBK"/>
          <w:bCs/>
          <w:sz w:val="32"/>
          <w:szCs w:val="32"/>
        </w:rPr>
        <w:t>，由管道输送至</w:t>
      </w:r>
      <w:r>
        <w:rPr>
          <w:rFonts w:eastAsia="方正仿宋_GBK"/>
          <w:bCs/>
          <w:sz w:val="32"/>
          <w:szCs w:val="32"/>
        </w:rPr>
        <w:t>搬迁</w:t>
      </w:r>
      <w:r>
        <w:rPr>
          <w:rFonts w:hint="eastAsia" w:eastAsia="方正仿宋_GBK"/>
          <w:bCs/>
          <w:sz w:val="32"/>
          <w:szCs w:val="32"/>
        </w:rPr>
        <w:t>项目</w:t>
      </w:r>
      <w:r>
        <w:rPr>
          <w:rFonts w:eastAsia="方正仿宋_GBK"/>
          <w:bCs/>
          <w:sz w:val="32"/>
          <w:szCs w:val="32"/>
        </w:rPr>
        <w:t>污水处理站处理</w:t>
      </w:r>
      <w:r>
        <w:rPr>
          <w:rFonts w:hint="eastAsia" w:eastAsia="方正仿宋_GBK"/>
          <w:bCs/>
          <w:sz w:val="32"/>
          <w:szCs w:val="32"/>
        </w:rPr>
        <w:t>，达到</w:t>
      </w:r>
      <w:r>
        <w:rPr>
          <w:rFonts w:eastAsia="方正仿宋_GBK"/>
          <w:bCs/>
          <w:sz w:val="32"/>
          <w:szCs w:val="32"/>
        </w:rPr>
        <w:t>《制糖工业水污染物排放标准》（GB21909-2008）表2标准、《制浆造纸工业水污染物排放标准》（GB3544-2008）表2制浆和造纸联合生产企标准</w:t>
      </w:r>
      <w:r>
        <w:rPr>
          <w:rFonts w:hint="eastAsia" w:eastAsia="方正仿宋_GBK"/>
          <w:bCs/>
          <w:sz w:val="32"/>
          <w:szCs w:val="32"/>
        </w:rPr>
        <w:t>、</w:t>
      </w:r>
      <w:r>
        <w:rPr>
          <w:rFonts w:eastAsia="方正仿宋_GBK"/>
          <w:bCs/>
          <w:sz w:val="32"/>
          <w:szCs w:val="32"/>
        </w:rPr>
        <w:t>《发酵酒精和白酒工业水污染物排放标准》（GB2763</w:t>
      </w:r>
      <w:r>
        <w:rPr>
          <w:rFonts w:hint="eastAsia" w:eastAsia="方正仿宋_GBK"/>
          <w:bCs/>
          <w:sz w:val="32"/>
          <w:szCs w:val="32"/>
        </w:rPr>
        <w:t>1</w:t>
      </w:r>
      <w:r>
        <w:rPr>
          <w:rFonts w:eastAsia="方正仿宋_GBK"/>
          <w:bCs/>
          <w:sz w:val="32"/>
          <w:szCs w:val="32"/>
        </w:rPr>
        <w:t>-2011）表2中发酵酒精企业直接排放标准</w:t>
      </w:r>
      <w:r>
        <w:rPr>
          <w:rFonts w:hint="eastAsia" w:eastAsia="方正仿宋_GBK"/>
          <w:bCs/>
          <w:sz w:val="32"/>
          <w:szCs w:val="32"/>
        </w:rPr>
        <w:t>最严</w:t>
      </w:r>
      <w:r>
        <w:rPr>
          <w:rFonts w:eastAsia="方正仿宋_GBK"/>
          <w:bCs/>
          <w:sz w:val="32"/>
          <w:szCs w:val="32"/>
        </w:rPr>
        <w:t>限值</w:t>
      </w:r>
      <w:r>
        <w:rPr>
          <w:rFonts w:hint="eastAsia" w:eastAsia="方正仿宋_GBK"/>
          <w:bCs/>
          <w:sz w:val="32"/>
          <w:szCs w:val="32"/>
        </w:rPr>
        <w:t>后</w:t>
      </w:r>
      <w:r>
        <w:rPr>
          <w:rFonts w:eastAsia="方正仿宋_GBK"/>
          <w:bCs/>
          <w:sz w:val="32"/>
          <w:szCs w:val="32"/>
        </w:rPr>
        <w:t>排入戛洒江。</w:t>
      </w:r>
      <w:r>
        <w:rPr>
          <w:rFonts w:hint="eastAsia" w:eastAsia="方正仿宋_GBK"/>
          <w:bCs/>
          <w:sz w:val="32"/>
          <w:szCs w:val="32"/>
        </w:rPr>
        <w:t>项目设置</w:t>
      </w:r>
      <w:r>
        <w:rPr>
          <w:rFonts w:eastAsia="方正仿宋_GBK"/>
          <w:bCs/>
          <w:sz w:val="32"/>
          <w:szCs w:val="32"/>
        </w:rPr>
        <w:t>1个容积为</w:t>
      </w:r>
      <w:r>
        <w:rPr>
          <w:rFonts w:hint="eastAsia" w:eastAsia="方正仿宋_GBK"/>
          <w:bCs/>
          <w:sz w:val="32"/>
          <w:szCs w:val="32"/>
        </w:rPr>
        <w:t>90</w:t>
      </w:r>
      <w:r>
        <w:rPr>
          <w:rFonts w:eastAsia="方正仿宋_GBK"/>
          <w:bCs/>
          <w:sz w:val="32"/>
          <w:szCs w:val="32"/>
        </w:rPr>
        <w:t>立方米的</w:t>
      </w:r>
      <w:r>
        <w:rPr>
          <w:rFonts w:hint="eastAsia" w:eastAsia="方正仿宋_GBK"/>
          <w:bCs/>
          <w:sz w:val="32"/>
          <w:szCs w:val="32"/>
        </w:rPr>
        <w:t>消力池</w:t>
      </w:r>
      <w:r>
        <w:rPr>
          <w:rFonts w:eastAsia="方正仿宋_GBK"/>
          <w:bCs/>
          <w:sz w:val="32"/>
          <w:szCs w:val="32"/>
        </w:rPr>
        <w:t>，</w:t>
      </w:r>
      <w:r>
        <w:rPr>
          <w:rFonts w:hint="eastAsia" w:eastAsia="方正仿宋_GBK"/>
          <w:bCs/>
          <w:sz w:val="32"/>
          <w:szCs w:val="32"/>
        </w:rPr>
        <w:t>确保项目区内地表径流经过消力池缓冲沉淀后排放。</w:t>
      </w:r>
      <w:r>
        <w:rPr>
          <w:rFonts w:eastAsia="方正仿宋_GBK"/>
          <w:bCs/>
          <w:sz w:val="32"/>
          <w:szCs w:val="32"/>
        </w:rPr>
        <w:t>项目封场后，渗滤液收集及其处理措施应继续维持正常运转，直至水质稳定为止。地下水监测系统应继续维持正常运转。</w:t>
      </w:r>
    </w:p>
    <w:p>
      <w:pPr>
        <w:spacing w:line="560" w:lineRule="exact"/>
        <w:ind w:firstLine="640" w:firstLineChars="200"/>
        <w:rPr>
          <w:rFonts w:eastAsia="方正仿宋_GBK"/>
          <w:bCs/>
          <w:sz w:val="32"/>
          <w:szCs w:val="32"/>
        </w:rPr>
      </w:pPr>
      <w:r>
        <w:rPr>
          <w:rFonts w:hint="eastAsia" w:eastAsia="方正仿宋_GBK"/>
          <w:bCs/>
          <w:sz w:val="32"/>
          <w:szCs w:val="32"/>
        </w:rPr>
        <w:t>（五）严格落实噪声污染防治措施。优先选用低噪声设备，加强管理，合理布置场内机械设备，定期进行保养和维护；改善场区路面结构、加强管理，控制运输车辆行驶车速，禁止鸣笛等措施控制车辆噪声；尽量避免在夜间进行运输及机械设备操作。确保厂界噪声达到《工业企业厂界环境噪声排放标准》（GB12348－2008）2类标准限值。</w:t>
      </w:r>
    </w:p>
    <w:p>
      <w:pPr>
        <w:snapToGrid w:val="0"/>
        <w:spacing w:line="560" w:lineRule="exact"/>
        <w:ind w:firstLine="640" w:firstLineChars="200"/>
        <w:jc w:val="left"/>
        <w:rPr>
          <w:rFonts w:eastAsia="方正仿宋_GBK"/>
          <w:bCs/>
          <w:sz w:val="32"/>
          <w:szCs w:val="32"/>
        </w:rPr>
      </w:pPr>
      <w:r>
        <w:rPr>
          <w:rFonts w:hint="eastAsia" w:eastAsia="方正仿宋_GBK"/>
          <w:bCs/>
          <w:sz w:val="32"/>
          <w:szCs w:val="32"/>
        </w:rPr>
        <w:t>（六）严格落实固体废物分类处置和综合利用措施。</w:t>
      </w:r>
      <w:r>
        <w:rPr>
          <w:rFonts w:eastAsia="方正仿宋_GBK"/>
          <w:bCs/>
          <w:sz w:val="32"/>
          <w:szCs w:val="32"/>
        </w:rPr>
        <w:t>项目运营期中</w:t>
      </w:r>
      <w:r>
        <w:rPr>
          <w:rFonts w:hint="eastAsia" w:eastAsia="方正仿宋_GBK"/>
          <w:bCs/>
          <w:sz w:val="32"/>
          <w:szCs w:val="32"/>
        </w:rPr>
        <w:t>产生的</w:t>
      </w:r>
      <w:r>
        <w:rPr>
          <w:rFonts w:eastAsia="方正仿宋_GBK"/>
          <w:bCs/>
          <w:sz w:val="32"/>
          <w:szCs w:val="32"/>
        </w:rPr>
        <w:t>固体废物主要为渗滤液收集池</w:t>
      </w:r>
      <w:r>
        <w:rPr>
          <w:rFonts w:hint="eastAsia" w:eastAsia="方正仿宋_GBK"/>
          <w:bCs/>
          <w:sz w:val="32"/>
          <w:szCs w:val="32"/>
        </w:rPr>
        <w:t>及消力池底泥、</w:t>
      </w:r>
      <w:r>
        <w:rPr>
          <w:rFonts w:eastAsia="方正仿宋_GBK"/>
          <w:bCs/>
          <w:sz w:val="32"/>
          <w:szCs w:val="32"/>
        </w:rPr>
        <w:t>生活垃圾。生活垃圾收集后定期运至附近垃圾收集箱，由环卫部门统一清运处理</w:t>
      </w:r>
      <w:r>
        <w:rPr>
          <w:rFonts w:hint="eastAsia" w:eastAsia="方正仿宋_GBK"/>
          <w:bCs/>
          <w:sz w:val="32"/>
          <w:szCs w:val="32"/>
        </w:rPr>
        <w:t>；渗滤液收集池底泥经自然晾干后运至项目区堆场，</w:t>
      </w:r>
      <w:r>
        <w:rPr>
          <w:rFonts w:eastAsia="方正仿宋_GBK"/>
          <w:bCs/>
          <w:sz w:val="32"/>
          <w:szCs w:val="32"/>
        </w:rPr>
        <w:t>不外排</w:t>
      </w:r>
      <w:r>
        <w:rPr>
          <w:rFonts w:hint="eastAsia" w:eastAsia="方正仿宋_GBK"/>
          <w:bCs/>
          <w:sz w:val="32"/>
          <w:szCs w:val="32"/>
        </w:rPr>
        <w:t>；消力池底泥经自然晾干后运至项目区堆场，</w:t>
      </w:r>
      <w:r>
        <w:rPr>
          <w:rFonts w:eastAsia="方正仿宋_GBK"/>
          <w:bCs/>
          <w:sz w:val="32"/>
          <w:szCs w:val="32"/>
        </w:rPr>
        <w:t>不外排</w:t>
      </w:r>
      <w:r>
        <w:rPr>
          <w:rFonts w:hint="eastAsia" w:eastAsia="方正仿宋_GBK"/>
          <w:bCs/>
          <w:sz w:val="32"/>
          <w:szCs w:val="32"/>
        </w:rPr>
        <w:t>。</w:t>
      </w:r>
    </w:p>
    <w:p>
      <w:pPr>
        <w:spacing w:line="600" w:lineRule="exact"/>
        <w:ind w:firstLine="640" w:firstLineChars="200"/>
        <w:rPr>
          <w:rFonts w:ascii="方正仿宋_GBK" w:hAnsi="仿宋" w:eastAsia="方正仿宋_GBK"/>
          <w:sz w:val="32"/>
          <w:szCs w:val="32"/>
        </w:rPr>
      </w:pPr>
      <w:r>
        <w:rPr>
          <w:rFonts w:hint="eastAsia" w:eastAsia="方正仿宋_GBK"/>
          <w:bCs/>
          <w:sz w:val="32"/>
          <w:szCs w:val="32"/>
        </w:rPr>
        <w:t>（七）严格落实地下水污染防治措施。做好项目区分区防渗工作，并对</w:t>
      </w:r>
      <w:r>
        <w:rPr>
          <w:rFonts w:hint="eastAsia" w:hAnsi="方正仿宋_GBK" w:eastAsia="方正仿宋_GBK"/>
          <w:bCs/>
          <w:sz w:val="32"/>
          <w:szCs w:val="32"/>
        </w:rPr>
        <w:t>防渗工程的施工监理及其相关材料作留档备查，包含但不限于材料购置和使用、阶段性施工图、施工影像图等资料</w:t>
      </w:r>
      <w:r>
        <w:rPr>
          <w:rFonts w:hint="eastAsia" w:eastAsia="方正仿宋_GBK"/>
          <w:bCs/>
          <w:sz w:val="32"/>
          <w:szCs w:val="32"/>
        </w:rPr>
        <w:t>。1.</w:t>
      </w:r>
      <w:r>
        <w:rPr>
          <w:rFonts w:eastAsia="方正仿宋_GBK"/>
          <w:bCs/>
          <w:sz w:val="32"/>
          <w:szCs w:val="32"/>
        </w:rPr>
        <w:t>底部防渗：300mm厚16-32mm碎石导流层</w:t>
      </w:r>
      <w:r>
        <w:rPr>
          <w:rFonts w:hint="eastAsia" w:eastAsia="方正仿宋_GBK"/>
          <w:bCs/>
          <w:sz w:val="32"/>
          <w:szCs w:val="32"/>
        </w:rPr>
        <w:t>+</w:t>
      </w:r>
      <w:r>
        <w:rPr>
          <w:rFonts w:eastAsia="方正仿宋_GBK"/>
          <w:bCs/>
          <w:sz w:val="32"/>
          <w:szCs w:val="32"/>
        </w:rPr>
        <w:t>100mm厚砂砾层</w:t>
      </w:r>
      <w:r>
        <w:rPr>
          <w:rFonts w:hint="eastAsia" w:eastAsia="方正仿宋_GBK"/>
          <w:bCs/>
          <w:sz w:val="32"/>
          <w:szCs w:val="32"/>
        </w:rPr>
        <w:t>+</w:t>
      </w:r>
      <w:r>
        <w:rPr>
          <w:rFonts w:eastAsia="方正仿宋_GBK"/>
          <w:bCs/>
          <w:sz w:val="32"/>
          <w:szCs w:val="32"/>
        </w:rPr>
        <w:t>复合600g/m</w:t>
      </w:r>
      <w:r>
        <w:rPr>
          <w:rFonts w:eastAsia="方正仿宋_GBK"/>
          <w:bCs/>
          <w:sz w:val="32"/>
          <w:szCs w:val="32"/>
          <w:vertAlign w:val="superscript"/>
        </w:rPr>
        <w:t>2</w:t>
      </w:r>
      <w:r>
        <w:rPr>
          <w:rFonts w:eastAsia="方正仿宋_GBK"/>
          <w:bCs/>
          <w:sz w:val="32"/>
          <w:szCs w:val="32"/>
        </w:rPr>
        <w:t>土工布</w:t>
      </w:r>
      <w:r>
        <w:rPr>
          <w:rFonts w:hint="eastAsia" w:eastAsia="方正仿宋_GBK"/>
          <w:bCs/>
          <w:sz w:val="32"/>
          <w:szCs w:val="32"/>
        </w:rPr>
        <w:t>+</w:t>
      </w:r>
      <w:r>
        <w:rPr>
          <w:rFonts w:eastAsia="方正仿宋_GBK"/>
          <w:bCs/>
          <w:sz w:val="32"/>
          <w:szCs w:val="32"/>
        </w:rPr>
        <w:t>1.5mm厚HDPE复合土工膜</w:t>
      </w:r>
      <w:r>
        <w:rPr>
          <w:rFonts w:hint="eastAsia" w:eastAsia="方正仿宋_GBK"/>
          <w:bCs/>
          <w:sz w:val="32"/>
          <w:szCs w:val="32"/>
        </w:rPr>
        <w:t>+</w:t>
      </w:r>
      <w:r>
        <w:rPr>
          <w:rFonts w:eastAsia="方正仿宋_GBK"/>
          <w:bCs/>
          <w:sz w:val="32"/>
          <w:szCs w:val="32"/>
        </w:rPr>
        <w:t>复合600g/m</w:t>
      </w:r>
      <w:r>
        <w:rPr>
          <w:rFonts w:eastAsia="方正仿宋_GBK"/>
          <w:bCs/>
          <w:sz w:val="32"/>
          <w:szCs w:val="32"/>
          <w:vertAlign w:val="superscript"/>
        </w:rPr>
        <w:t>2</w:t>
      </w:r>
      <w:r>
        <w:rPr>
          <w:rFonts w:eastAsia="方正仿宋_GBK"/>
          <w:bCs/>
          <w:sz w:val="32"/>
          <w:szCs w:val="32"/>
        </w:rPr>
        <w:t>土工布</w:t>
      </w:r>
      <w:r>
        <w:rPr>
          <w:rFonts w:hint="eastAsia" w:eastAsia="方正仿宋_GBK"/>
          <w:bCs/>
          <w:sz w:val="32"/>
          <w:szCs w:val="32"/>
        </w:rPr>
        <w:t>+</w:t>
      </w:r>
      <w:r>
        <w:rPr>
          <w:rFonts w:eastAsia="方正仿宋_GBK"/>
          <w:bCs/>
          <w:sz w:val="32"/>
          <w:szCs w:val="32"/>
        </w:rPr>
        <w:t>750mm粘土</w:t>
      </w:r>
      <w:r>
        <w:rPr>
          <w:rFonts w:hint="eastAsia" w:eastAsia="方正仿宋_GBK"/>
          <w:bCs/>
          <w:sz w:val="32"/>
          <w:szCs w:val="32"/>
        </w:rPr>
        <w:t>防渗</w:t>
      </w:r>
      <w:r>
        <w:rPr>
          <w:rFonts w:eastAsia="方正仿宋_GBK"/>
          <w:bCs/>
          <w:sz w:val="32"/>
          <w:szCs w:val="32"/>
        </w:rPr>
        <w:t>层（渗透系数</w:t>
      </w:r>
      <w:r>
        <w:rPr>
          <w:rFonts w:hint="eastAsia" w:eastAsia="方正仿宋_GBK"/>
          <w:bCs/>
          <w:sz w:val="32"/>
          <w:szCs w:val="32"/>
        </w:rPr>
        <w:t>≦</w:t>
      </w:r>
      <w:r>
        <w:rPr>
          <w:rFonts w:eastAsia="方正仿宋_GBK"/>
          <w:bCs/>
          <w:sz w:val="32"/>
          <w:szCs w:val="32"/>
        </w:rPr>
        <w:t>1.0×10-7cm/s）</w:t>
      </w:r>
      <w:r>
        <w:rPr>
          <w:rFonts w:hint="eastAsia" w:eastAsia="方正仿宋_GBK"/>
          <w:bCs/>
          <w:sz w:val="32"/>
          <w:szCs w:val="32"/>
        </w:rPr>
        <w:t>+</w:t>
      </w:r>
      <w:r>
        <w:rPr>
          <w:rFonts w:eastAsia="方正仿宋_GBK"/>
          <w:bCs/>
          <w:sz w:val="32"/>
          <w:szCs w:val="32"/>
        </w:rPr>
        <w:t>平整后库底土质地基。</w:t>
      </w:r>
      <w:r>
        <w:rPr>
          <w:rFonts w:hint="eastAsia" w:eastAsia="方正仿宋_GBK"/>
          <w:bCs/>
          <w:sz w:val="32"/>
          <w:szCs w:val="32"/>
        </w:rPr>
        <w:t>2.</w:t>
      </w:r>
      <w:r>
        <w:rPr>
          <w:rFonts w:eastAsia="方正仿宋_GBK"/>
          <w:bCs/>
          <w:sz w:val="32"/>
          <w:szCs w:val="32"/>
        </w:rPr>
        <w:t>边坡防渗：上层复合600g/m</w:t>
      </w:r>
      <w:r>
        <w:rPr>
          <w:rFonts w:eastAsia="方正仿宋_GBK"/>
          <w:bCs/>
          <w:sz w:val="32"/>
          <w:szCs w:val="32"/>
          <w:vertAlign w:val="superscript"/>
        </w:rPr>
        <w:t>2</w:t>
      </w:r>
      <w:r>
        <w:rPr>
          <w:rFonts w:eastAsia="方正仿宋_GBK"/>
          <w:bCs/>
          <w:sz w:val="32"/>
          <w:szCs w:val="32"/>
        </w:rPr>
        <w:t>土工布</w:t>
      </w:r>
      <w:r>
        <w:rPr>
          <w:rFonts w:hint="eastAsia" w:eastAsia="方正仿宋_GBK"/>
          <w:bCs/>
          <w:sz w:val="32"/>
          <w:szCs w:val="32"/>
        </w:rPr>
        <w:t>+</w:t>
      </w:r>
      <w:r>
        <w:rPr>
          <w:rFonts w:eastAsia="方正仿宋_GBK"/>
          <w:bCs/>
          <w:sz w:val="32"/>
          <w:szCs w:val="32"/>
        </w:rPr>
        <w:t>1.5mm厚HDPE复合土工膜</w:t>
      </w:r>
      <w:r>
        <w:rPr>
          <w:rFonts w:hint="eastAsia" w:eastAsia="方正仿宋_GBK"/>
          <w:bCs/>
          <w:sz w:val="32"/>
          <w:szCs w:val="32"/>
        </w:rPr>
        <w:t>+下层</w:t>
      </w:r>
      <w:r>
        <w:rPr>
          <w:rFonts w:eastAsia="方正仿宋_GBK"/>
          <w:bCs/>
          <w:sz w:val="32"/>
          <w:szCs w:val="32"/>
        </w:rPr>
        <w:t>复合600g/m</w:t>
      </w:r>
      <w:r>
        <w:rPr>
          <w:rFonts w:eastAsia="方正仿宋_GBK"/>
          <w:bCs/>
          <w:sz w:val="32"/>
          <w:szCs w:val="32"/>
          <w:vertAlign w:val="superscript"/>
        </w:rPr>
        <w:t>2</w:t>
      </w:r>
      <w:r>
        <w:rPr>
          <w:rFonts w:eastAsia="方正仿宋_GBK"/>
          <w:bCs/>
          <w:sz w:val="32"/>
          <w:szCs w:val="32"/>
        </w:rPr>
        <w:t>土工布</w:t>
      </w:r>
      <w:r>
        <w:rPr>
          <w:rFonts w:hint="eastAsia" w:eastAsia="方正仿宋_GBK"/>
          <w:bCs/>
          <w:sz w:val="32"/>
          <w:szCs w:val="32"/>
        </w:rPr>
        <w:t>+</w:t>
      </w:r>
      <w:r>
        <w:rPr>
          <w:rFonts w:eastAsia="方正仿宋_GBK"/>
          <w:bCs/>
          <w:sz w:val="32"/>
          <w:szCs w:val="32"/>
        </w:rPr>
        <w:t>4800g/m</w:t>
      </w:r>
      <w:r>
        <w:rPr>
          <w:rFonts w:eastAsia="方正仿宋_GBK"/>
          <w:bCs/>
          <w:sz w:val="32"/>
          <w:szCs w:val="32"/>
          <w:vertAlign w:val="superscript"/>
        </w:rPr>
        <w:t>2</w:t>
      </w:r>
      <w:r>
        <w:rPr>
          <w:rFonts w:eastAsia="方正仿宋_GBK"/>
          <w:bCs/>
          <w:sz w:val="32"/>
          <w:szCs w:val="32"/>
        </w:rPr>
        <w:t>GCL钠基膨润土垫</w:t>
      </w:r>
      <w:r>
        <w:rPr>
          <w:rFonts w:hint="eastAsia" w:eastAsia="方正仿宋_GBK"/>
          <w:bCs/>
          <w:sz w:val="32"/>
          <w:szCs w:val="32"/>
        </w:rPr>
        <w:t>+</w:t>
      </w:r>
      <w:r>
        <w:rPr>
          <w:rFonts w:eastAsia="方正仿宋_GBK"/>
          <w:bCs/>
          <w:sz w:val="32"/>
          <w:szCs w:val="32"/>
        </w:rPr>
        <w:t>库区边坡</w:t>
      </w:r>
      <w:r>
        <w:rPr>
          <w:rFonts w:hint="eastAsia" w:eastAsia="方正仿宋_GBK"/>
          <w:bCs/>
          <w:sz w:val="32"/>
          <w:szCs w:val="32"/>
        </w:rPr>
        <w:t>（坝面）</w:t>
      </w:r>
      <w:r>
        <w:rPr>
          <w:rFonts w:eastAsia="方正仿宋_GBK"/>
          <w:bCs/>
          <w:sz w:val="32"/>
          <w:szCs w:val="32"/>
        </w:rPr>
        <w:t>平整地面。</w:t>
      </w:r>
      <w:r>
        <w:rPr>
          <w:rFonts w:hint="eastAsia" w:eastAsia="方正仿宋_GBK"/>
          <w:bCs/>
          <w:sz w:val="32"/>
          <w:szCs w:val="32"/>
        </w:rPr>
        <w:t>3.</w:t>
      </w:r>
      <w:r>
        <w:rPr>
          <w:rFonts w:eastAsia="方正仿宋_GBK"/>
          <w:bCs/>
          <w:sz w:val="32"/>
          <w:szCs w:val="32"/>
        </w:rPr>
        <w:t>渗滤液收集池：渗滤液</w:t>
      </w:r>
      <w:r>
        <w:rPr>
          <w:rFonts w:hint="eastAsia" w:eastAsia="方正仿宋_GBK"/>
          <w:bCs/>
          <w:sz w:val="32"/>
          <w:szCs w:val="32"/>
        </w:rPr>
        <w:t>收集池</w:t>
      </w:r>
      <w:r>
        <w:rPr>
          <w:rFonts w:eastAsia="方正仿宋_GBK"/>
          <w:bCs/>
          <w:sz w:val="32"/>
          <w:szCs w:val="32"/>
        </w:rPr>
        <w:t>采用钢筋混凝土整体浇筑结构，混凝土采用C30抗渗级混凝土浇筑振捣；</w:t>
      </w:r>
      <w:r>
        <w:rPr>
          <w:rFonts w:hint="eastAsia" w:eastAsia="方正仿宋_GBK"/>
          <w:bCs/>
          <w:sz w:val="32"/>
          <w:szCs w:val="32"/>
        </w:rPr>
        <w:t>防渗系统</w:t>
      </w:r>
      <w:r>
        <w:rPr>
          <w:rFonts w:eastAsia="方正仿宋_GBK"/>
          <w:bCs/>
          <w:sz w:val="32"/>
          <w:szCs w:val="32"/>
        </w:rPr>
        <w:t>采用HDPE防渗膜与土工布相结合的方法，土工布铺设于HDPE防渗膜与水池内壁之间；采用至少一条锚固压条环绕水池内侧壁一周将所述HDPE防渗膜与土工布压紧在水池的内侧壁上。</w:t>
      </w:r>
      <w:r>
        <w:rPr>
          <w:rFonts w:hint="eastAsia" w:eastAsia="方正仿宋_GBK"/>
          <w:bCs/>
          <w:sz w:val="32"/>
          <w:szCs w:val="32"/>
        </w:rPr>
        <w:t>渗滤液收集池上建设</w:t>
      </w:r>
      <w:r>
        <w:rPr>
          <w:rFonts w:eastAsia="方正仿宋_GBK"/>
          <w:bCs/>
          <w:sz w:val="32"/>
          <w:szCs w:val="32"/>
        </w:rPr>
        <w:t>缸砖（预制混凝土块）压覆</w:t>
      </w:r>
      <w:r>
        <w:rPr>
          <w:rFonts w:hint="eastAsia" w:eastAsia="方正仿宋_GBK"/>
          <w:bCs/>
          <w:sz w:val="32"/>
          <w:szCs w:val="32"/>
        </w:rPr>
        <w:t>处理</w:t>
      </w:r>
      <w:r>
        <w:rPr>
          <w:rFonts w:eastAsia="方正仿宋_GBK"/>
          <w:bCs/>
          <w:sz w:val="32"/>
          <w:szCs w:val="32"/>
        </w:rPr>
        <w:t>。</w:t>
      </w:r>
      <w:r>
        <w:rPr>
          <w:rFonts w:hint="eastAsia" w:ascii="方正仿宋_GBK" w:hAnsi="仿宋" w:eastAsia="方正仿宋_GBK"/>
          <w:sz w:val="32"/>
          <w:szCs w:val="32"/>
        </w:rPr>
        <w:t>规范设置地下水质监控井，制定日常监测计划，定期对地下水质进行监测，并将监测报告报生态环境主管部门备案，</w:t>
      </w:r>
      <w:r>
        <w:rPr>
          <w:rFonts w:hint="eastAsia" w:ascii="方正仿宋_GBK" w:hAnsi="方正仿宋_GBK" w:eastAsia="方正仿宋_GBK" w:cs="方正仿宋_GBK"/>
          <w:bCs/>
          <w:kern w:val="0"/>
          <w:sz w:val="32"/>
          <w:szCs w:val="32"/>
        </w:rPr>
        <w:t>一旦出现地下水污染问题，应立刻查找渗漏源，并采取有效补漏措施</w:t>
      </w:r>
      <w:r>
        <w:rPr>
          <w:rFonts w:hint="eastAsia" w:ascii="方正仿宋_GBK" w:hAnsi="仿宋" w:eastAsia="方正仿宋_GBK"/>
          <w:sz w:val="32"/>
          <w:szCs w:val="32"/>
        </w:rPr>
        <w:t>。</w:t>
      </w:r>
    </w:p>
    <w:p>
      <w:pPr>
        <w:spacing w:line="560" w:lineRule="exact"/>
        <w:ind w:firstLine="640" w:firstLineChars="200"/>
        <w:rPr>
          <w:rFonts w:eastAsia="方正仿宋_GBK"/>
          <w:bCs/>
          <w:sz w:val="32"/>
          <w:szCs w:val="32"/>
        </w:rPr>
      </w:pPr>
      <w:r>
        <w:rPr>
          <w:rFonts w:hint="eastAsia" w:eastAsia="方正仿宋_GBK"/>
          <w:bCs/>
          <w:sz w:val="32"/>
          <w:szCs w:val="32"/>
        </w:rPr>
        <w:t>（八）严格落实土壤污染防治措施。</w:t>
      </w:r>
      <w:r>
        <w:rPr>
          <w:rFonts w:eastAsia="方正仿宋_GBK"/>
          <w:bCs/>
          <w:sz w:val="32"/>
          <w:szCs w:val="32"/>
        </w:rPr>
        <w:t>按照“源头控制、末端防治、污染监控、应急响应”相结合的原则，从污染物的产生、入侵、扩散、应急响应全阶段进行控制。</w:t>
      </w:r>
      <w:r>
        <w:rPr>
          <w:rFonts w:hint="eastAsia" w:eastAsia="方正仿宋_GBK"/>
          <w:bCs/>
          <w:sz w:val="32"/>
          <w:szCs w:val="32"/>
        </w:rPr>
        <w:t>1.</w:t>
      </w:r>
      <w:r>
        <w:rPr>
          <w:rFonts w:eastAsia="方正仿宋_GBK"/>
          <w:bCs/>
          <w:sz w:val="32"/>
          <w:szCs w:val="32"/>
        </w:rPr>
        <w:t>源头控制措施：填埋场四周按设计要求修建截排水沟，减少雨水入库量，从而减少废水产生量。</w:t>
      </w:r>
      <w:r>
        <w:rPr>
          <w:rFonts w:hint="eastAsia" w:eastAsia="方正仿宋_GBK"/>
          <w:bCs/>
          <w:sz w:val="32"/>
          <w:szCs w:val="32"/>
        </w:rPr>
        <w:t>2.</w:t>
      </w:r>
      <w:r>
        <w:rPr>
          <w:rFonts w:eastAsia="方正仿宋_GBK"/>
          <w:bCs/>
          <w:sz w:val="32"/>
          <w:szCs w:val="32"/>
        </w:rPr>
        <w:t>末端控制措施：做好废水防渗及导排系统，避免废水在库区内长时间滞留。</w:t>
      </w:r>
      <w:r>
        <w:rPr>
          <w:rFonts w:hint="eastAsia" w:eastAsia="方正仿宋_GBK"/>
          <w:bCs/>
          <w:sz w:val="32"/>
          <w:szCs w:val="32"/>
        </w:rPr>
        <w:t>3.</w:t>
      </w:r>
      <w:r>
        <w:rPr>
          <w:rFonts w:eastAsia="方正仿宋_GBK"/>
          <w:bCs/>
          <w:sz w:val="32"/>
          <w:szCs w:val="32"/>
        </w:rPr>
        <w:t>污染监控体系：</w:t>
      </w:r>
      <w:r>
        <w:rPr>
          <w:rFonts w:hint="eastAsia" w:eastAsia="方正仿宋_GBK"/>
          <w:bCs/>
          <w:sz w:val="32"/>
          <w:szCs w:val="32"/>
        </w:rPr>
        <w:t>按规范设置监测点并开展监测工作，</w:t>
      </w:r>
      <w:r>
        <w:rPr>
          <w:rFonts w:eastAsia="方正仿宋_GBK"/>
          <w:bCs/>
          <w:sz w:val="32"/>
          <w:szCs w:val="32"/>
        </w:rPr>
        <w:t>实施覆盖生产区的土壤污染监控系统，及时发现污染、及时控制</w:t>
      </w:r>
      <w:r>
        <w:rPr>
          <w:rFonts w:hint="eastAsia" w:eastAsia="方正仿宋_GBK"/>
          <w:bCs/>
          <w:sz w:val="32"/>
          <w:szCs w:val="32"/>
        </w:rPr>
        <w:t>。4.</w:t>
      </w:r>
      <w:r>
        <w:rPr>
          <w:rFonts w:eastAsia="方正仿宋_GBK"/>
          <w:bCs/>
          <w:sz w:val="32"/>
          <w:szCs w:val="32"/>
        </w:rPr>
        <w:t>应急响应措施：一旦发现污染事故，立即启动应急预案、采取应急措施控制土壤，并使污染</w:t>
      </w:r>
      <w:r>
        <w:rPr>
          <w:rFonts w:hint="eastAsia" w:eastAsia="方正仿宋_GBK"/>
          <w:bCs/>
          <w:sz w:val="32"/>
          <w:szCs w:val="32"/>
        </w:rPr>
        <w:t>得</w:t>
      </w:r>
      <w:r>
        <w:rPr>
          <w:rFonts w:eastAsia="方正仿宋_GBK"/>
          <w:bCs/>
          <w:sz w:val="32"/>
          <w:szCs w:val="32"/>
        </w:rPr>
        <w:t>到治理。</w:t>
      </w:r>
      <w:r>
        <w:rPr>
          <w:rFonts w:hint="eastAsia" w:eastAsia="方正仿宋_GBK"/>
          <w:bCs/>
          <w:sz w:val="32"/>
          <w:szCs w:val="32"/>
        </w:rPr>
        <w:t>5.</w:t>
      </w:r>
      <w:r>
        <w:rPr>
          <w:rFonts w:eastAsia="方正仿宋_GBK"/>
          <w:bCs/>
          <w:sz w:val="32"/>
          <w:szCs w:val="32"/>
        </w:rPr>
        <w:t>绿化措施：合理利用项目区的空余空间，加强项目区的绿化。</w:t>
      </w:r>
    </w:p>
    <w:p>
      <w:pPr>
        <w:pStyle w:val="20"/>
        <w:spacing w:line="560" w:lineRule="exact"/>
        <w:ind w:firstLine="640"/>
        <w:jc w:val="both"/>
        <w:rPr>
          <w:rFonts w:ascii="Times New Roman" w:hAnsi="Times New Roman" w:eastAsia="方正仿宋_GBK"/>
          <w:bCs/>
          <w:kern w:val="0"/>
          <w:sz w:val="32"/>
          <w:szCs w:val="32"/>
        </w:rPr>
      </w:pPr>
      <w:r>
        <w:rPr>
          <w:rFonts w:hint="eastAsia" w:eastAsia="方正仿宋_GBK"/>
          <w:bCs/>
          <w:sz w:val="32"/>
          <w:szCs w:val="32"/>
        </w:rPr>
        <w:t>（九）严格落实生态环境保护措施。</w:t>
      </w:r>
      <w:r>
        <w:rPr>
          <w:rFonts w:ascii="Times New Roman" w:hAnsi="Times New Roman" w:eastAsia="方正仿宋_GBK"/>
          <w:bCs/>
          <w:kern w:val="0"/>
          <w:sz w:val="32"/>
          <w:szCs w:val="32"/>
        </w:rPr>
        <w:t>加强对渣场堆积面洒水降尘，</w:t>
      </w:r>
      <w:r>
        <w:rPr>
          <w:rFonts w:hint="eastAsia" w:ascii="Times New Roman" w:hAnsi="Times New Roman" w:eastAsia="方正仿宋_GBK"/>
          <w:bCs/>
          <w:kern w:val="0"/>
          <w:sz w:val="32"/>
          <w:szCs w:val="32"/>
        </w:rPr>
        <w:t>严防</w:t>
      </w:r>
      <w:r>
        <w:rPr>
          <w:rFonts w:ascii="Times New Roman" w:hAnsi="Times New Roman" w:eastAsia="方正仿宋_GBK"/>
          <w:bCs/>
          <w:kern w:val="0"/>
          <w:sz w:val="32"/>
          <w:szCs w:val="32"/>
        </w:rPr>
        <w:t>扬尘对周边</w:t>
      </w:r>
      <w:r>
        <w:rPr>
          <w:rFonts w:hint="eastAsia" w:ascii="Times New Roman" w:hAnsi="Times New Roman" w:eastAsia="方正仿宋_GBK"/>
          <w:bCs/>
          <w:kern w:val="0"/>
          <w:sz w:val="32"/>
          <w:szCs w:val="32"/>
        </w:rPr>
        <w:t>居民及</w:t>
      </w:r>
      <w:r>
        <w:rPr>
          <w:rFonts w:ascii="Times New Roman" w:hAnsi="Times New Roman" w:eastAsia="方正仿宋_GBK"/>
          <w:bCs/>
          <w:kern w:val="0"/>
          <w:sz w:val="32"/>
          <w:szCs w:val="32"/>
        </w:rPr>
        <w:t>植被的影响；根据渣场排渣情况，逐步对已堆至设计标高的台阶进行覆土植被。在完成固体废物填埋的堆置后，若需进行封场，其上应设置封闭构造层。根据《一般工业固体废物贮存和填埋污染控制标准》（GB18599-2020）中对II类场地的封场设计要求，II类场的封场结构应包括阻隔层、雨水导排层、覆盖土层。覆盖土层的厚度视拟种植物种类及其对阻隔层可能产生的损坏确定</w:t>
      </w:r>
      <w:r>
        <w:rPr>
          <w:rFonts w:hint="eastAsia" w:eastAsia="方正仿宋_GBK"/>
          <w:bCs/>
          <w:kern w:val="0"/>
          <w:sz w:val="32"/>
          <w:szCs w:val="32"/>
        </w:rPr>
        <w:t>，防止项目区场地长期裸露造成水土流失等影响周边环境。</w:t>
      </w:r>
    </w:p>
    <w:p>
      <w:pPr>
        <w:adjustRightInd w:val="0"/>
        <w:snapToGrid w:val="0"/>
        <w:spacing w:line="560" w:lineRule="exact"/>
        <w:ind w:firstLine="640" w:firstLineChars="200"/>
        <w:rPr>
          <w:rFonts w:eastAsia="方正仿宋_GBK"/>
          <w:bCs/>
          <w:kern w:val="0"/>
          <w:sz w:val="32"/>
          <w:szCs w:val="32"/>
        </w:rPr>
      </w:pPr>
      <w:r>
        <w:rPr>
          <w:rFonts w:hint="eastAsia" w:eastAsia="方正仿宋_GBK"/>
          <w:bCs/>
          <w:kern w:val="0"/>
          <w:sz w:val="32"/>
          <w:szCs w:val="32"/>
        </w:rPr>
        <w:t>（十）</w:t>
      </w:r>
      <w:r>
        <w:rPr>
          <w:rFonts w:eastAsia="方正仿宋_GBK"/>
          <w:bCs/>
          <w:kern w:val="0"/>
          <w:sz w:val="32"/>
          <w:szCs w:val="32"/>
        </w:rPr>
        <w:t>严格落实《报告书》提出的各项环境风险防治措施</w:t>
      </w:r>
      <w:r>
        <w:rPr>
          <w:rFonts w:hint="eastAsia" w:eastAsia="方正仿宋_GBK"/>
          <w:bCs/>
          <w:kern w:val="0"/>
          <w:sz w:val="32"/>
          <w:szCs w:val="32"/>
        </w:rPr>
        <w:t>。</w:t>
      </w:r>
      <w:r>
        <w:rPr>
          <w:rFonts w:eastAsia="方正仿宋_GBK"/>
          <w:bCs/>
          <w:kern w:val="0"/>
          <w:sz w:val="32"/>
          <w:szCs w:val="32"/>
        </w:rPr>
        <w:t>制定</w:t>
      </w:r>
      <w:r>
        <w:rPr>
          <w:rFonts w:hint="eastAsia" w:eastAsia="方正仿宋_GBK"/>
          <w:bCs/>
          <w:kern w:val="0"/>
          <w:sz w:val="32"/>
          <w:szCs w:val="32"/>
        </w:rPr>
        <w:t>、</w:t>
      </w:r>
      <w:r>
        <w:rPr>
          <w:rFonts w:eastAsia="方正仿宋_GBK"/>
          <w:bCs/>
          <w:kern w:val="0"/>
          <w:sz w:val="32"/>
          <w:szCs w:val="32"/>
        </w:rPr>
        <w:t>完善环境风险防范和环境安全隐患排查治理措施，按照有关规定建立环境安全隐患制度，建立应急培训档案</w:t>
      </w:r>
      <w:r>
        <w:rPr>
          <w:rFonts w:hint="eastAsia" w:eastAsia="方正仿宋_GBK"/>
          <w:bCs/>
          <w:kern w:val="0"/>
          <w:sz w:val="32"/>
          <w:szCs w:val="32"/>
        </w:rPr>
        <w:t>和</w:t>
      </w:r>
      <w:r>
        <w:rPr>
          <w:rFonts w:eastAsia="方正仿宋_GBK"/>
          <w:bCs/>
          <w:kern w:val="0"/>
          <w:sz w:val="32"/>
          <w:szCs w:val="32"/>
        </w:rPr>
        <w:t>隐患排查治理档案，及时发现并消除环境安全隐患</w:t>
      </w:r>
      <w:r>
        <w:rPr>
          <w:rFonts w:hint="eastAsia" w:eastAsia="方正仿宋_GBK"/>
          <w:bCs/>
          <w:kern w:val="0"/>
          <w:sz w:val="32"/>
          <w:szCs w:val="32"/>
        </w:rPr>
        <w:t>，</w:t>
      </w:r>
      <w:r>
        <w:rPr>
          <w:rFonts w:eastAsia="方正仿宋_GBK"/>
          <w:bCs/>
          <w:kern w:val="0"/>
          <w:sz w:val="32"/>
          <w:szCs w:val="32"/>
        </w:rPr>
        <w:t>严防突发环境事故发生，并编制突发环境事件（事故）应急预案报市生态环境局新平分局备案。</w:t>
      </w:r>
    </w:p>
    <w:p>
      <w:pPr>
        <w:snapToGrid w:val="0"/>
        <w:spacing w:line="560" w:lineRule="exact"/>
        <w:ind w:firstLine="640" w:firstLineChars="200"/>
        <w:jc w:val="left"/>
        <w:rPr>
          <w:rFonts w:eastAsia="方正仿宋_GBK"/>
          <w:bCs/>
          <w:kern w:val="0"/>
          <w:sz w:val="32"/>
          <w:szCs w:val="32"/>
        </w:rPr>
      </w:pPr>
      <w:r>
        <w:rPr>
          <w:rFonts w:hint="eastAsia" w:eastAsia="方正仿宋_GBK"/>
          <w:bCs/>
          <w:kern w:val="0"/>
          <w:sz w:val="32"/>
          <w:szCs w:val="32"/>
        </w:rPr>
        <w:t>（十一）严格落实环境监测及环境信息公开要求。</w:t>
      </w:r>
      <w:r>
        <w:rPr>
          <w:rFonts w:eastAsia="方正仿宋_GBK"/>
          <w:bCs/>
          <w:kern w:val="0"/>
          <w:sz w:val="32"/>
          <w:szCs w:val="32"/>
        </w:rPr>
        <w:t>按照《报告书》中的环境监测计划以及相关标准和技术规范要求，制定项目污染物排放和周边环境质量自行监测方案，并认真组织实施。同时，按照环境信息公开相关规定，主动向社会公开污染物排放等相关信息。</w:t>
      </w:r>
    </w:p>
    <w:p>
      <w:pPr>
        <w:snapToGrid w:val="0"/>
        <w:spacing w:line="560" w:lineRule="exact"/>
        <w:ind w:firstLine="640" w:firstLineChars="200"/>
        <w:rPr>
          <w:rFonts w:eastAsia="方正仿宋_GBK"/>
          <w:bCs/>
          <w:kern w:val="0"/>
          <w:sz w:val="32"/>
          <w:szCs w:val="32"/>
        </w:rPr>
      </w:pPr>
      <w:r>
        <w:rPr>
          <w:rFonts w:eastAsia="方正仿宋_GBK"/>
          <w:bCs/>
          <w:kern w:val="0"/>
          <w:sz w:val="32"/>
          <w:szCs w:val="32"/>
        </w:rPr>
        <w:t>四、项目实施中如发生重大变更，以及环境保护措施与批复方案发生变化或自批准之日起超过5年方开工建设</w:t>
      </w:r>
      <w:r>
        <w:rPr>
          <w:rFonts w:hint="eastAsia" w:eastAsia="方正仿宋_GBK"/>
          <w:bCs/>
          <w:kern w:val="0"/>
          <w:sz w:val="32"/>
          <w:szCs w:val="32"/>
        </w:rPr>
        <w:t>的</w:t>
      </w:r>
      <w:r>
        <w:rPr>
          <w:rFonts w:eastAsia="方正仿宋_GBK"/>
          <w:bCs/>
          <w:kern w:val="0"/>
          <w:sz w:val="32"/>
          <w:szCs w:val="32"/>
        </w:rPr>
        <w:t>，须按有关规定重新报我局审核环评文件。</w:t>
      </w:r>
    </w:p>
    <w:p>
      <w:pPr>
        <w:snapToGrid w:val="0"/>
        <w:spacing w:line="560" w:lineRule="exact"/>
        <w:ind w:firstLine="640" w:firstLineChars="200"/>
        <w:rPr>
          <w:rFonts w:eastAsia="方正仿宋_GBK"/>
          <w:bCs/>
          <w:kern w:val="0"/>
          <w:sz w:val="32"/>
          <w:szCs w:val="32"/>
        </w:rPr>
      </w:pPr>
      <w:r>
        <w:rPr>
          <w:rFonts w:eastAsia="方正仿宋_GBK"/>
          <w:bCs/>
          <w:kern w:val="0"/>
          <w:sz w:val="32"/>
          <w:szCs w:val="32"/>
        </w:rPr>
        <w:t>五、按照实施建设项目环境保护责任制的要求，你公司作为项目的责任单位，必须严格执行配套建设的环境保护设施与主体工程同时设计、同时施工、同时投</w:t>
      </w:r>
      <w:r>
        <w:rPr>
          <w:rFonts w:hint="eastAsia" w:eastAsia="方正仿宋_GBK"/>
          <w:bCs/>
          <w:kern w:val="0"/>
          <w:sz w:val="32"/>
          <w:szCs w:val="32"/>
        </w:rPr>
        <w:t>产</w:t>
      </w:r>
      <w:r>
        <w:rPr>
          <w:rFonts w:eastAsia="方正仿宋_GBK"/>
          <w:bCs/>
          <w:kern w:val="0"/>
          <w:sz w:val="32"/>
          <w:szCs w:val="32"/>
        </w:rPr>
        <w:t>使用的环境保护</w:t>
      </w:r>
      <w:r>
        <w:rPr>
          <w:rFonts w:hint="eastAsia" w:eastAsia="方正仿宋_GBK"/>
          <w:bCs/>
          <w:kern w:val="0"/>
          <w:sz w:val="32"/>
          <w:szCs w:val="32"/>
        </w:rPr>
        <w:t>“三同时”</w:t>
      </w:r>
      <w:r>
        <w:rPr>
          <w:rFonts w:eastAsia="方正仿宋_GBK"/>
          <w:bCs/>
          <w:kern w:val="0"/>
          <w:sz w:val="32"/>
          <w:szCs w:val="32"/>
        </w:rPr>
        <w:t>制度</w:t>
      </w:r>
      <w:r>
        <w:rPr>
          <w:rFonts w:hint="eastAsia" w:eastAsia="方正仿宋_GBK"/>
          <w:bCs/>
          <w:kern w:val="0"/>
          <w:sz w:val="32"/>
          <w:szCs w:val="32"/>
        </w:rPr>
        <w:t>，</w:t>
      </w:r>
      <w:r>
        <w:rPr>
          <w:rFonts w:eastAsia="方正仿宋_GBK"/>
          <w:bCs/>
          <w:kern w:val="0"/>
          <w:sz w:val="32"/>
          <w:szCs w:val="32"/>
        </w:rPr>
        <w:t>认真落实各项环保要求，主动向社会公开建设项目环境影响评价文件、污染防治设施建设运行情况、污染物排放情况、突发环境事件急预案等环境信息。</w:t>
      </w:r>
    </w:p>
    <w:p>
      <w:pPr>
        <w:snapToGrid w:val="0"/>
        <w:spacing w:line="560" w:lineRule="exact"/>
        <w:ind w:firstLine="640" w:firstLineChars="200"/>
        <w:rPr>
          <w:rFonts w:eastAsia="方正仿宋_GBK"/>
          <w:bCs/>
          <w:sz w:val="32"/>
          <w:szCs w:val="32"/>
        </w:rPr>
      </w:pPr>
      <w:r>
        <w:rPr>
          <w:rFonts w:eastAsia="方正仿宋_GBK"/>
          <w:bCs/>
          <w:sz w:val="32"/>
          <w:szCs w:val="32"/>
        </w:rPr>
        <w:t>六、</w:t>
      </w:r>
      <w:r>
        <w:rPr>
          <w:rFonts w:hint="eastAsia" w:eastAsia="方正仿宋_GBK"/>
          <w:sz w:val="32"/>
          <w:szCs w:val="32"/>
        </w:rPr>
        <w:t>在项目发生实际排污行为之前，应按照《排污许可管理条例》规定重新申领排污许可证，未重新取得排污许可证不得排放污染物。项目运行应符合排污许可管理相关要求。</w:t>
      </w:r>
    </w:p>
    <w:p>
      <w:pPr>
        <w:pStyle w:val="5"/>
        <w:spacing w:line="540" w:lineRule="exact"/>
        <w:ind w:firstLine="640" w:firstLineChars="200"/>
        <w:rPr>
          <w:rFonts w:ascii="Times New Roman" w:hAnsi="Times New Roman"/>
        </w:rPr>
      </w:pPr>
      <w:r>
        <w:rPr>
          <w:rFonts w:hint="eastAsia" w:eastAsia="方正仿宋_GBK"/>
          <w:bCs/>
          <w:sz w:val="32"/>
          <w:szCs w:val="32"/>
        </w:rPr>
        <w:t>七、</w:t>
      </w:r>
      <w:r>
        <w:rPr>
          <w:rFonts w:eastAsia="方正仿宋_GBK"/>
          <w:bCs/>
          <w:sz w:val="32"/>
          <w:szCs w:val="32"/>
        </w:rPr>
        <w:t>项目建成后，及时按《建设项目环境保护管理条例》《建设项目竣工环境保护验收暂行办法》</w:t>
      </w:r>
      <w:r>
        <w:rPr>
          <w:rFonts w:hint="eastAsia" w:eastAsia="方正仿宋_GBK"/>
          <w:bCs/>
          <w:sz w:val="32"/>
          <w:szCs w:val="32"/>
        </w:rPr>
        <w:t>的相关要求</w:t>
      </w:r>
      <w:r>
        <w:rPr>
          <w:rFonts w:eastAsia="方正仿宋_GBK"/>
          <w:bCs/>
          <w:sz w:val="32"/>
          <w:szCs w:val="32"/>
        </w:rPr>
        <w:t>自行组织开展竣工环保验收，并依法向社会公开验收报告。</w:t>
      </w:r>
      <w:r>
        <w:rPr>
          <w:rFonts w:hint="eastAsia" w:eastAsia="方正仿宋_GBK"/>
          <w:bCs/>
          <w:sz w:val="32"/>
          <w:szCs w:val="32"/>
        </w:rPr>
        <w:t>项目</w:t>
      </w:r>
      <w:r>
        <w:rPr>
          <w:rFonts w:eastAsia="方正仿宋_GBK"/>
          <w:bCs/>
          <w:sz w:val="32"/>
          <w:szCs w:val="32"/>
        </w:rPr>
        <w:t>经验收合格后方可正式投入使用。</w:t>
      </w:r>
    </w:p>
    <w:p>
      <w:pPr>
        <w:tabs>
          <w:tab w:val="left" w:pos="7560"/>
        </w:tabs>
        <w:topLinePunct/>
        <w:adjustRightInd w:val="0"/>
        <w:snapToGrid w:val="0"/>
        <w:spacing w:line="560" w:lineRule="exact"/>
        <w:ind w:firstLine="640" w:firstLineChars="200"/>
        <w:rPr>
          <w:rFonts w:eastAsia="方正仿宋_GBK"/>
          <w:sz w:val="32"/>
        </w:rPr>
      </w:pPr>
      <w:r>
        <w:rPr>
          <w:rFonts w:hint="eastAsia" w:eastAsia="方正仿宋_GBK"/>
          <w:bCs/>
          <w:sz w:val="32"/>
          <w:szCs w:val="32"/>
        </w:rPr>
        <w:t>八、</w:t>
      </w:r>
      <w:r>
        <w:rPr>
          <w:rFonts w:eastAsia="方正仿宋_GBK"/>
          <w:bCs/>
          <w:sz w:val="32"/>
          <w:szCs w:val="32"/>
        </w:rPr>
        <w:t>新平县生态环境保护综合行政执法大队负责该项目的环境执法</w:t>
      </w:r>
      <w:r>
        <w:rPr>
          <w:rFonts w:hint="eastAsia" w:eastAsia="方正仿宋_GBK"/>
          <w:sz w:val="32"/>
          <w:szCs w:val="32"/>
        </w:rPr>
        <w:t>监管工作</w:t>
      </w:r>
      <w:r>
        <w:rPr>
          <w:rFonts w:eastAsia="方正仿宋_GBK"/>
          <w:bCs/>
          <w:sz w:val="32"/>
          <w:szCs w:val="32"/>
        </w:rPr>
        <w:t>，</w:t>
      </w:r>
      <w:r>
        <w:rPr>
          <w:rFonts w:eastAsia="方正仿宋_GBK"/>
          <w:sz w:val="32"/>
          <w:szCs w:val="32"/>
        </w:rPr>
        <w:t>切实承担事中事后监管主要责任，</w:t>
      </w:r>
      <w:r>
        <w:rPr>
          <w:rFonts w:hint="eastAsia" w:eastAsia="方正仿宋_GBK"/>
          <w:sz w:val="32"/>
        </w:rPr>
        <w:t>按照法律法规及《关于进一步完善建设项目环境保护“三同时”及竣工环境保护自主验收监管工作机制的意见》（环执法</w:t>
      </w:r>
      <w:r>
        <w:rPr>
          <w:rFonts w:eastAsia="方正仿宋_GBK"/>
          <w:sz w:val="32"/>
        </w:rPr>
        <w:t>〔2021〕</w:t>
      </w:r>
      <w:r>
        <w:rPr>
          <w:rFonts w:hint="eastAsia" w:eastAsia="方正仿宋_GBK"/>
          <w:sz w:val="32"/>
        </w:rPr>
        <w:t>70号）等文件要求，加强对</w:t>
      </w:r>
      <w:r>
        <w:rPr>
          <w:rFonts w:eastAsia="方正仿宋_GBK"/>
          <w:sz w:val="32"/>
        </w:rPr>
        <w:t>项目的</w:t>
      </w:r>
      <w:r>
        <w:rPr>
          <w:rFonts w:hint="eastAsia" w:eastAsia="方正仿宋_GBK"/>
          <w:sz w:val="32"/>
        </w:rPr>
        <w:t>环境保护“三同时”、竣工环境保护自主验收等执法监管</w:t>
      </w:r>
      <w:r>
        <w:rPr>
          <w:rFonts w:eastAsia="方正仿宋_GBK"/>
          <w:sz w:val="32"/>
        </w:rPr>
        <w:t>。</w:t>
      </w:r>
    </w:p>
    <w:p>
      <w:pPr>
        <w:pStyle w:val="3"/>
        <w:wordWrap/>
        <w:spacing w:before="0" w:after="0" w:line="560" w:lineRule="exact"/>
        <w:ind w:left="0" w:right="0"/>
        <w:rPr>
          <w:rFonts w:ascii="方正仿宋_GBK" w:eastAsia="方正仿宋_GBK"/>
          <w:i w:val="0"/>
          <w:sz w:val="32"/>
          <w:szCs w:val="32"/>
        </w:rPr>
      </w:pPr>
    </w:p>
    <w:p>
      <w:pPr>
        <w:pStyle w:val="3"/>
        <w:wordWrap/>
        <w:spacing w:before="0" w:after="0" w:line="560" w:lineRule="exact"/>
        <w:ind w:left="0" w:right="0"/>
        <w:rPr>
          <w:rFonts w:ascii="方正仿宋_GBK" w:eastAsia="方正仿宋_GBK"/>
          <w:i w:val="0"/>
          <w:sz w:val="32"/>
          <w:szCs w:val="32"/>
        </w:rPr>
      </w:pPr>
    </w:p>
    <w:p/>
    <w:p>
      <w:pPr>
        <w:snapToGrid w:val="0"/>
        <w:spacing w:line="560" w:lineRule="exact"/>
        <w:ind w:firstLine="4320" w:firstLineChars="1350"/>
        <w:jc w:val="left"/>
        <w:rPr>
          <w:rFonts w:eastAsia="方正仿宋_GBK"/>
          <w:sz w:val="32"/>
        </w:rPr>
      </w:pPr>
      <w:r>
        <w:rPr>
          <w:rFonts w:eastAsia="方正仿宋_GBK"/>
          <w:sz w:val="32"/>
        </w:rPr>
        <w:t>玉溪市生态环境局新平分局</w:t>
      </w:r>
    </w:p>
    <w:p>
      <w:pPr>
        <w:snapToGrid w:val="0"/>
        <w:spacing w:line="560" w:lineRule="exact"/>
        <w:jc w:val="left"/>
        <w:rPr>
          <w:rFonts w:eastAsia="方正仿宋_GBK"/>
          <w:sz w:val="32"/>
        </w:rPr>
      </w:pPr>
      <w:r>
        <w:rPr>
          <w:rFonts w:eastAsia="方正仿宋_GBK"/>
          <w:sz w:val="32"/>
        </w:rPr>
        <w:t xml:space="preserve">                               2022年</w:t>
      </w:r>
      <w:r>
        <w:rPr>
          <w:rFonts w:hint="eastAsia" w:eastAsia="方正仿宋_GBK"/>
          <w:sz w:val="32"/>
        </w:rPr>
        <w:t>5</w:t>
      </w:r>
      <w:r>
        <w:rPr>
          <w:rFonts w:eastAsia="方正仿宋_GBK"/>
          <w:sz w:val="32"/>
        </w:rPr>
        <w:t>月</w:t>
      </w:r>
      <w:r>
        <w:rPr>
          <w:rFonts w:hint="eastAsia" w:eastAsia="方正仿宋_GBK"/>
          <w:sz w:val="32"/>
        </w:rPr>
        <w:t>9</w:t>
      </w:r>
      <w:r>
        <w:rPr>
          <w:rFonts w:eastAsia="方正仿宋_GBK"/>
          <w:sz w:val="32"/>
        </w:rPr>
        <w:t>日</w:t>
      </w:r>
    </w:p>
    <w:p>
      <w:pPr>
        <w:spacing w:line="560" w:lineRule="exact"/>
        <w:ind w:firstLine="640" w:firstLineChars="200"/>
        <w:rPr>
          <w:rFonts w:eastAsia="方正仿宋_GBK"/>
          <w:sz w:val="32"/>
          <w:szCs w:val="32"/>
        </w:rPr>
      </w:pPr>
      <w:r>
        <w:rPr>
          <w:rFonts w:eastAsia="方正仿宋_GBK"/>
          <w:sz w:val="32"/>
          <w:szCs w:val="32"/>
        </w:rPr>
        <w:t>（此件公开发布）</w:t>
      </w:r>
    </w:p>
    <w:p>
      <w:pPr>
        <w:pStyle w:val="2"/>
      </w:pPr>
    </w:p>
    <w:p>
      <w:pPr>
        <w:pStyle w:val="3"/>
        <w:wordWrap/>
        <w:spacing w:before="0" w:after="0" w:line="560" w:lineRule="exact"/>
        <w:ind w:left="0" w:right="0"/>
        <w:jc w:val="both"/>
        <w:rPr>
          <w:rFonts w:eastAsia="方正仿宋_GBK"/>
          <w:i w:val="0"/>
          <w:kern w:val="2"/>
          <w:sz w:val="32"/>
          <w:szCs w:val="24"/>
        </w:rPr>
      </w:pPr>
    </w:p>
    <w:p/>
    <w:p>
      <w:pPr>
        <w:pStyle w:val="2"/>
      </w:pPr>
    </w:p>
    <w:p>
      <w:pPr>
        <w:pStyle w:val="3"/>
        <w:keepNext w:val="0"/>
        <w:keepLines w:val="0"/>
        <w:pageBreakBefore w:val="0"/>
        <w:widowControl/>
        <w:kinsoku/>
        <w:wordWrap w:val="0"/>
        <w:overflowPunct/>
        <w:topLinePunct w:val="0"/>
        <w:autoSpaceDE/>
        <w:autoSpaceDN/>
        <w:bidi w:val="0"/>
        <w:adjustRightInd/>
        <w:snapToGrid/>
        <w:spacing w:before="0" w:after="0" w:line="590" w:lineRule="exact"/>
        <w:ind w:left="0" w:right="0" w:firstLine="640" w:firstLineChars="200"/>
        <w:jc w:val="both"/>
        <w:textAlignment w:val="auto"/>
        <w:rPr>
          <w:rFonts w:hint="eastAsia" w:ascii="方正楷体_GBK" w:hAnsi="方正楷体_GBK" w:eastAsia="方正楷体_GBK" w:cs="方正楷体_GBK"/>
          <w:i w:val="0"/>
          <w:iCs/>
          <w:sz w:val="32"/>
          <w:szCs w:val="32"/>
          <w:lang w:eastAsia="zh-CN"/>
        </w:rPr>
      </w:pPr>
      <w:r>
        <w:rPr>
          <w:rFonts w:hint="eastAsia" w:ascii="方正楷体_GBK" w:hAnsi="方正楷体_GBK" w:eastAsia="方正楷体_GBK" w:cs="方正楷体_GBK"/>
          <w:i w:val="0"/>
          <w:iCs/>
          <w:sz w:val="32"/>
          <w:szCs w:val="32"/>
          <w:lang w:eastAsia="zh-CN"/>
        </w:rPr>
        <w:t>（</w:t>
      </w:r>
      <w:r>
        <w:rPr>
          <w:rFonts w:hint="eastAsia" w:ascii="方正楷体_GBK" w:hAnsi="方正楷体_GBK" w:eastAsia="方正楷体_GBK" w:cs="方正楷体_GBK"/>
          <w:i w:val="0"/>
          <w:iCs/>
          <w:sz w:val="32"/>
          <w:szCs w:val="32"/>
          <w:lang w:val="en-US" w:eastAsia="zh-CN"/>
        </w:rPr>
        <w:t>此页无正文</w:t>
      </w:r>
      <w:r>
        <w:rPr>
          <w:rFonts w:hint="eastAsia" w:ascii="方正楷体_GBK" w:hAnsi="方正楷体_GBK" w:eastAsia="方正楷体_GBK" w:cs="方正楷体_GBK"/>
          <w:i w:val="0"/>
          <w:iCs/>
          <w:sz w:val="32"/>
          <w:szCs w:val="32"/>
          <w:lang w:eastAsia="zh-CN"/>
        </w:rPr>
        <w:t>）</w:t>
      </w:r>
      <w:bookmarkStart w:id="0" w:name="_GoBack"/>
      <w:bookmarkEnd w:id="0"/>
    </w:p>
    <w:p/>
    <w:p>
      <w:pPr>
        <w:pStyle w:val="2"/>
      </w:pPr>
    </w:p>
    <w:p>
      <w:pPr>
        <w:pStyle w:val="3"/>
      </w:pPr>
    </w:p>
    <w:p/>
    <w:p>
      <w:pPr>
        <w:pStyle w:val="2"/>
      </w:pPr>
    </w:p>
    <w:p>
      <w:pPr>
        <w:pStyle w:val="3"/>
      </w:pPr>
    </w:p>
    <w:p/>
    <w:p>
      <w:pPr>
        <w:pStyle w:val="2"/>
      </w:pPr>
    </w:p>
    <w:p>
      <w:pPr>
        <w:pStyle w:val="3"/>
      </w:pPr>
    </w:p>
    <w:p/>
    <w:p>
      <w:pPr>
        <w:pStyle w:val="2"/>
      </w:pPr>
    </w:p>
    <w:p>
      <w:pPr>
        <w:pStyle w:val="3"/>
      </w:pPr>
    </w:p>
    <w:p/>
    <w:p>
      <w:pPr>
        <w:pStyle w:val="3"/>
        <w:rPr>
          <w:i w:val="0"/>
          <w:kern w:val="2"/>
        </w:rPr>
      </w:pPr>
    </w:p>
    <w:p/>
    <w:p>
      <w:pPr>
        <w:pStyle w:val="3"/>
      </w:pPr>
    </w:p>
    <w:p/>
    <w:p>
      <w:pPr>
        <w:pStyle w:val="2"/>
      </w:pPr>
    </w:p>
    <w:p/>
    <w:p/>
    <w:p>
      <w:pPr>
        <w:snapToGrid w:val="0"/>
        <w:spacing w:line="400" w:lineRule="exact"/>
        <w:ind w:left="1279" w:leftChars="152" w:hanging="960" w:hangingChars="300"/>
        <w:jc w:val="left"/>
        <w:rPr>
          <w:rFonts w:eastAsia="方正仿宋_GBK"/>
          <w:bCs/>
          <w:sz w:val="28"/>
          <w:szCs w:val="28"/>
        </w:rPr>
      </w:pPr>
      <w:r>
        <w:rPr>
          <w:rFonts w:eastAsia="方正仿宋_GBK"/>
          <w:bCs/>
          <w:kern w:val="0"/>
          <w:sz w:val="32"/>
          <w:szCs w:val="32"/>
        </w:rPr>
        <w:pict>
          <v:line id="Line 44" o:spid="_x0000_s1026" o:spt="20" style="position:absolute;left:0pt;margin-left:-1pt;margin-top:1pt;height:0pt;width:445.2pt;z-index:251657216;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r>
        <w:rPr>
          <w:rFonts w:eastAsia="方正仿宋_GBK"/>
          <w:bCs/>
          <w:sz w:val="28"/>
          <w:szCs w:val="28"/>
        </w:rPr>
        <w:t>抄送：县发展和改革局、县自然资源局、</w:t>
      </w:r>
      <w:r>
        <w:rPr>
          <w:rFonts w:hint="eastAsia" w:eastAsia="方正仿宋_GBK"/>
          <w:bCs/>
          <w:sz w:val="28"/>
          <w:szCs w:val="28"/>
        </w:rPr>
        <w:t>县水利局、</w:t>
      </w:r>
      <w:r>
        <w:rPr>
          <w:rFonts w:eastAsia="方正仿宋_GBK"/>
          <w:bCs/>
          <w:sz w:val="28"/>
          <w:szCs w:val="28"/>
        </w:rPr>
        <w:t>县应急管理局、县林草局、</w:t>
      </w:r>
      <w:r>
        <w:rPr>
          <w:rFonts w:hint="eastAsia" w:eastAsia="方正仿宋_GBK"/>
          <w:bCs/>
          <w:sz w:val="28"/>
          <w:szCs w:val="28"/>
        </w:rPr>
        <w:t>戛洒</w:t>
      </w:r>
      <w:r>
        <w:rPr>
          <w:rFonts w:eastAsia="方正仿宋_GBK"/>
          <w:bCs/>
          <w:sz w:val="28"/>
          <w:szCs w:val="28"/>
        </w:rPr>
        <w:t>镇人民政府，</w:t>
      </w:r>
      <w:r>
        <w:rPr>
          <w:rFonts w:hint="eastAsia" w:eastAsia="方正仿宋_GBK"/>
          <w:bCs/>
          <w:sz w:val="28"/>
          <w:szCs w:val="28"/>
        </w:rPr>
        <w:t>新平工业园区管委会，</w:t>
      </w:r>
      <w:r>
        <w:rPr>
          <w:rFonts w:eastAsia="方正仿宋_GBK"/>
          <w:bCs/>
          <w:sz w:val="28"/>
          <w:szCs w:val="28"/>
        </w:rPr>
        <w:t>县生态</w:t>
      </w:r>
    </w:p>
    <w:p>
      <w:pPr>
        <w:snapToGrid w:val="0"/>
        <w:spacing w:line="400" w:lineRule="exact"/>
        <w:ind w:left="1163" w:leftChars="554" w:firstLine="140" w:firstLineChars="50"/>
        <w:jc w:val="left"/>
        <w:rPr>
          <w:rFonts w:eastAsia="方正仿宋_GBK"/>
          <w:bCs/>
          <w:sz w:val="28"/>
          <w:szCs w:val="28"/>
        </w:rPr>
      </w:pPr>
      <w:r>
        <w:rPr>
          <w:rFonts w:eastAsia="方正仿宋_GBK"/>
          <w:bCs/>
          <w:sz w:val="28"/>
          <w:szCs w:val="28"/>
        </w:rPr>
        <w:t>环境保护综合行政执法大队、市生态环境局新平分局生态环</w:t>
      </w:r>
    </w:p>
    <w:p>
      <w:pPr>
        <w:snapToGrid w:val="0"/>
        <w:spacing w:line="400" w:lineRule="exact"/>
        <w:ind w:left="1163" w:leftChars="554" w:firstLine="140" w:firstLineChars="50"/>
        <w:jc w:val="left"/>
        <w:rPr>
          <w:rFonts w:eastAsia="方正仿宋_GBK"/>
          <w:bCs/>
          <w:sz w:val="28"/>
          <w:szCs w:val="28"/>
        </w:rPr>
      </w:pPr>
      <w:r>
        <w:rPr>
          <w:rFonts w:eastAsia="方正仿宋_GBK"/>
          <w:bCs/>
          <w:sz w:val="28"/>
          <w:szCs w:val="28"/>
        </w:rPr>
        <w:t>境监测站。</w:t>
      </w:r>
    </w:p>
    <w:p>
      <w:pPr>
        <w:spacing w:line="400" w:lineRule="exact"/>
        <w:ind w:firstLine="280" w:firstLineChars="100"/>
        <w:rPr>
          <w:rFonts w:eastAsia="方正仿宋_GBK"/>
          <w:bCs/>
          <w:kern w:val="0"/>
          <w:sz w:val="28"/>
          <w:szCs w:val="28"/>
        </w:rPr>
      </w:pPr>
      <w:r>
        <w:rPr>
          <w:rFonts w:eastAsia="方正仿宋_GBK"/>
          <w:bCs/>
          <w:kern w:val="0"/>
          <w:sz w:val="28"/>
          <w:szCs w:val="28"/>
        </w:rPr>
        <w:pict>
          <v:line id="_x0000_s1028" o:spid="_x0000_s1028" o:spt="20" style="position:absolute;left:0pt;margin-left:-1pt;margin-top:22.3pt;height:0pt;width:441.15pt;z-index:251658240;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1.21pt"/>
            <v:imagedata o:title=""/>
            <o:lock v:ext="edit"/>
          </v:line>
        </w:pict>
      </w:r>
      <w:r>
        <w:rPr>
          <w:rFonts w:eastAsia="方正仿宋_GBK"/>
          <w:bCs/>
          <w:sz w:val="28"/>
          <w:szCs w:val="28"/>
        </w:rPr>
        <w:pict>
          <v:line id="_x0000_s1027" o:spid="_x0000_s1027" o:spt="20" style="position:absolute;left:0pt;margin-left:1.85pt;margin-top:0.4pt;height:0pt;width:438.3pt;z-index:251658240;mso-width-relative:page;mso-height-relative:page;" coordsize="21600,21600" o:gfxdata="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RX7/9MAAAAEAQAADwAAAAAAAAABACAAAAAiAAAAZHJzL2Rvd25yZXYueG1sUEsB&#10;AhQAFAAAAAgAh07iQAZdF6zBAQAAjAMAAA4AAAAAAAAAAQAgAAAAIgEAAGRycy9lMm9Eb2MueG1s&#10;UEsFBgAAAAAGAAYAWQEAAFUFAAAAAA==&#10;">
            <v:path arrowok="t"/>
            <v:fill focussize="0,0"/>
            <v:stroke weight="0.71pt"/>
            <v:imagedata o:title=""/>
            <o:lock v:ext="edit"/>
          </v:line>
        </w:pict>
      </w:r>
      <w:r>
        <w:rPr>
          <w:rFonts w:hAnsi="方正仿宋_GBK" w:eastAsia="方正仿宋_GBK"/>
          <w:bCs/>
          <w:kern w:val="0"/>
          <w:sz w:val="28"/>
          <w:szCs w:val="28"/>
        </w:rPr>
        <w:t>玉溪市生态环境局新平分局</w:t>
      </w:r>
      <w:r>
        <w:rPr>
          <w:rFonts w:eastAsia="方正仿宋_GBK"/>
          <w:bCs/>
          <w:kern w:val="0"/>
          <w:sz w:val="28"/>
          <w:szCs w:val="28"/>
        </w:rPr>
        <w:t xml:space="preserve">               2022</w:t>
      </w:r>
      <w:r>
        <w:rPr>
          <w:rFonts w:hAnsi="方正仿宋_GBK" w:eastAsia="方正仿宋_GBK"/>
          <w:bCs/>
          <w:kern w:val="0"/>
          <w:sz w:val="28"/>
          <w:szCs w:val="28"/>
        </w:rPr>
        <w:t>年</w:t>
      </w:r>
      <w:r>
        <w:rPr>
          <w:rFonts w:hint="eastAsia" w:eastAsia="方正仿宋_GBK"/>
          <w:bCs/>
          <w:kern w:val="0"/>
          <w:sz w:val="28"/>
          <w:szCs w:val="28"/>
        </w:rPr>
        <w:t>5</w:t>
      </w:r>
      <w:r>
        <w:rPr>
          <w:rFonts w:hAnsi="方正仿宋_GBK" w:eastAsia="方正仿宋_GBK"/>
          <w:bCs/>
          <w:kern w:val="0"/>
          <w:sz w:val="28"/>
          <w:szCs w:val="28"/>
        </w:rPr>
        <w:t>月</w:t>
      </w:r>
      <w:r>
        <w:rPr>
          <w:rFonts w:hint="eastAsia" w:eastAsia="方正仿宋_GBK"/>
          <w:bCs/>
          <w:kern w:val="0"/>
          <w:sz w:val="28"/>
          <w:szCs w:val="28"/>
        </w:rPr>
        <w:t>9</w:t>
      </w:r>
      <w:r>
        <w:rPr>
          <w:rFonts w:hAnsi="方正仿宋_GBK" w:eastAsia="方正仿宋_GBK"/>
          <w:bCs/>
          <w:kern w:val="0"/>
          <w:sz w:val="28"/>
          <w:szCs w:val="28"/>
        </w:rPr>
        <w:t>日印发</w:t>
      </w:r>
    </w:p>
    <w:sectPr>
      <w:headerReference r:id="rId3" w:type="default"/>
      <w:footerReference r:id="rId4" w:type="default"/>
      <w:footerReference r:id="rId5" w:type="even"/>
      <w:pgSz w:w="11906" w:h="16838"/>
      <w:pgMar w:top="1814" w:right="1474" w:bottom="1588" w:left="1588" w:header="1361" w:footer="1191"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文本框 2049" o:spid="_x0000_s2049" o:spt="202" type="#_x0000_t202" style="position:absolute;left:0pt;margin-top:0pt;height:20.45pt;width:63.7pt;mso-position-horizontal:outside;mso-position-horizontal-relative:margin;z-index:251660288;mso-width-relative:page;mso-height-relative:page;" filled="f" stroked="f" coordsize="21600,21600">
          <v:path/>
          <v:fill on="f" focussize="0,0"/>
          <v:stroke on="f" joinstyle="miter"/>
          <v:imagedata o:title=""/>
          <o:lock v:ext="edit"/>
          <v:textbox inset="0mm,0mm,0mm,0mm" style="mso-fit-shape-to-text:t;">
            <w:txbxContent>
              <w:p>
                <w:pPr>
                  <w:pStyle w:val="6"/>
                  <w:ind w:firstLine="140" w:firstLineChars="50"/>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Fonts w:hint="eastAsia" w:ascii="方正仿宋_GBK" w:hAnsi="方正仿宋_GBK" w:eastAsia="方正仿宋_GBK" w:cs="方正仿宋_GBK"/>
                    <w:sz w:val="28"/>
                    <w:szCs w:val="28"/>
                  </w:rPr>
                  <w:instrText xml:space="preserve"> PAGE  \* MERGEFORMAT </w:instrText>
                </w:r>
                <w:r>
                  <w:rPr>
                    <w:rFonts w:hint="eastAsia" w:ascii="方正仿宋_GBK" w:hAnsi="方正仿宋_GBK" w:eastAsia="方正仿宋_GBK" w:cs="方正仿宋_GBK"/>
                    <w:sz w:val="28"/>
                    <w:szCs w:val="28"/>
                  </w:rPr>
                  <w:fldChar w:fldCharType="separate"/>
                </w:r>
                <w:r>
                  <w:rPr>
                    <w:rFonts w:ascii="方正仿宋_GBK" w:hAnsi="方正仿宋_GBK" w:eastAsia="方正仿宋_GBK" w:cs="方正仿宋_GBK"/>
                    <w:sz w:val="28"/>
                    <w:szCs w:val="28"/>
                  </w:rPr>
                  <w:t>8</w:t>
                </w:r>
                <w:r>
                  <w:rPr>
                    <w:rFonts w:hint="eastAsia" w:ascii="方正仿宋_GBK" w:hAnsi="方正仿宋_GBK" w:eastAsia="方正仿宋_GBK" w:cs="方正仿宋_GBK"/>
                    <w:sz w:val="28"/>
                    <w:szCs w:val="28"/>
                  </w:rPr>
                  <w:fldChar w:fldCharType="end"/>
                </w:r>
                <w:r>
                  <w:rPr>
                    <w:rFonts w:hint="eastAsia" w:ascii="方正仿宋_GBK" w:hAnsi="方正仿宋_GBK" w:eastAsia="方正仿宋_GBK" w:cs="方正仿宋_GBK"/>
                    <w:sz w:val="28"/>
                    <w:szCs w:val="28"/>
                  </w:rPr>
                  <w:t xml:space="preserve"> —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0"/>
      </w:rPr>
    </w:pPr>
    <w:r>
      <w:fldChar w:fldCharType="begin"/>
    </w:r>
    <w:r>
      <w:rPr>
        <w:rStyle w:val="10"/>
      </w:rPr>
      <w:instrText xml:space="preserve">PAGE  </w:instrTex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B248C"/>
    <w:rsid w:val="0002192D"/>
    <w:rsid w:val="00031B71"/>
    <w:rsid w:val="00052027"/>
    <w:rsid w:val="00065413"/>
    <w:rsid w:val="00071E1D"/>
    <w:rsid w:val="000A2070"/>
    <w:rsid w:val="000A475A"/>
    <w:rsid w:val="000E72AA"/>
    <w:rsid w:val="000F6F27"/>
    <w:rsid w:val="00101728"/>
    <w:rsid w:val="00117996"/>
    <w:rsid w:val="00152644"/>
    <w:rsid w:val="001717EA"/>
    <w:rsid w:val="00171A1B"/>
    <w:rsid w:val="001D2B91"/>
    <w:rsid w:val="00201505"/>
    <w:rsid w:val="002309CF"/>
    <w:rsid w:val="00237447"/>
    <w:rsid w:val="00266803"/>
    <w:rsid w:val="00271C29"/>
    <w:rsid w:val="00292319"/>
    <w:rsid w:val="002A2238"/>
    <w:rsid w:val="002B5639"/>
    <w:rsid w:val="002C1DAD"/>
    <w:rsid w:val="002E01BC"/>
    <w:rsid w:val="003062AD"/>
    <w:rsid w:val="00325409"/>
    <w:rsid w:val="003341CD"/>
    <w:rsid w:val="00345ACA"/>
    <w:rsid w:val="00347FED"/>
    <w:rsid w:val="00350EFF"/>
    <w:rsid w:val="00361D0D"/>
    <w:rsid w:val="00373502"/>
    <w:rsid w:val="003B6213"/>
    <w:rsid w:val="003D3485"/>
    <w:rsid w:val="00436BF9"/>
    <w:rsid w:val="004529E3"/>
    <w:rsid w:val="00461F09"/>
    <w:rsid w:val="004B248C"/>
    <w:rsid w:val="004D7EF3"/>
    <w:rsid w:val="004E0A1E"/>
    <w:rsid w:val="00505EAA"/>
    <w:rsid w:val="00557A60"/>
    <w:rsid w:val="00592F9A"/>
    <w:rsid w:val="005C673F"/>
    <w:rsid w:val="005D2330"/>
    <w:rsid w:val="00604659"/>
    <w:rsid w:val="0062100A"/>
    <w:rsid w:val="006429C8"/>
    <w:rsid w:val="0066380E"/>
    <w:rsid w:val="0066605B"/>
    <w:rsid w:val="006945B1"/>
    <w:rsid w:val="006D008A"/>
    <w:rsid w:val="006F782B"/>
    <w:rsid w:val="007117B6"/>
    <w:rsid w:val="007230A5"/>
    <w:rsid w:val="007361CE"/>
    <w:rsid w:val="00755565"/>
    <w:rsid w:val="007B752D"/>
    <w:rsid w:val="00815EA2"/>
    <w:rsid w:val="00834E8F"/>
    <w:rsid w:val="00865488"/>
    <w:rsid w:val="008F1131"/>
    <w:rsid w:val="00901B82"/>
    <w:rsid w:val="00971E5C"/>
    <w:rsid w:val="009C4BA9"/>
    <w:rsid w:val="009D4B42"/>
    <w:rsid w:val="009D75AC"/>
    <w:rsid w:val="009D77C2"/>
    <w:rsid w:val="00A23592"/>
    <w:rsid w:val="00A24D8E"/>
    <w:rsid w:val="00A33364"/>
    <w:rsid w:val="00A33AB8"/>
    <w:rsid w:val="00A8379C"/>
    <w:rsid w:val="00AA2EB5"/>
    <w:rsid w:val="00AB1B7A"/>
    <w:rsid w:val="00AD7D6E"/>
    <w:rsid w:val="00AF1A77"/>
    <w:rsid w:val="00B45EEA"/>
    <w:rsid w:val="00B518A8"/>
    <w:rsid w:val="00B53B44"/>
    <w:rsid w:val="00B721A8"/>
    <w:rsid w:val="00B86ADE"/>
    <w:rsid w:val="00B94275"/>
    <w:rsid w:val="00BA3C71"/>
    <w:rsid w:val="00BA568E"/>
    <w:rsid w:val="00C11711"/>
    <w:rsid w:val="00C25DCB"/>
    <w:rsid w:val="00C27E5D"/>
    <w:rsid w:val="00C6516B"/>
    <w:rsid w:val="00C70D7B"/>
    <w:rsid w:val="00CC60D1"/>
    <w:rsid w:val="00CC6A5A"/>
    <w:rsid w:val="00D15690"/>
    <w:rsid w:val="00D15B12"/>
    <w:rsid w:val="00D97EF5"/>
    <w:rsid w:val="00DA5136"/>
    <w:rsid w:val="00DB7552"/>
    <w:rsid w:val="00DE213D"/>
    <w:rsid w:val="00DF6671"/>
    <w:rsid w:val="00E0536C"/>
    <w:rsid w:val="00E17546"/>
    <w:rsid w:val="00E25A17"/>
    <w:rsid w:val="00EA66B0"/>
    <w:rsid w:val="00EC3627"/>
    <w:rsid w:val="00EC6908"/>
    <w:rsid w:val="00F17B2C"/>
    <w:rsid w:val="00F31AD1"/>
    <w:rsid w:val="00F4563E"/>
    <w:rsid w:val="00F5068D"/>
    <w:rsid w:val="00F50A12"/>
    <w:rsid w:val="00F655C5"/>
    <w:rsid w:val="00F7311D"/>
    <w:rsid w:val="00F74194"/>
    <w:rsid w:val="00F848C1"/>
    <w:rsid w:val="00FC41C5"/>
    <w:rsid w:val="00FE23F9"/>
    <w:rsid w:val="0D0A4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link w:val="19"/>
    <w:qFormat/>
    <w:uiPriority w:val="0"/>
    <w:pPr>
      <w:keepNext/>
      <w:keepLines/>
      <w:widowControl/>
      <w:spacing w:before="260" w:after="260" w:line="416" w:lineRule="auto"/>
      <w:jc w:val="left"/>
      <w:outlineLvl w:val="2"/>
    </w:pPr>
    <w:rPr>
      <w:b/>
      <w:bCs/>
      <w:kern w:val="0"/>
      <w:sz w:val="32"/>
      <w:szCs w:val="32"/>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4"/>
    <w:qFormat/>
    <w:uiPriority w:val="0"/>
    <w:pPr>
      <w:spacing w:after="120"/>
    </w:pPr>
    <w:rPr>
      <w:szCs w:val="20"/>
    </w:rPr>
  </w:style>
  <w:style w:type="paragraph" w:customStyle="1" w:styleId="3">
    <w:name w:val="明显引用1"/>
    <w:next w:val="1"/>
    <w:qFormat/>
    <w:uiPriority w:val="0"/>
    <w:pPr>
      <w:wordWrap w:val="0"/>
      <w:spacing w:before="360" w:after="360"/>
      <w:ind w:left="950" w:right="950"/>
      <w:jc w:val="center"/>
    </w:pPr>
    <w:rPr>
      <w:rFonts w:ascii="Times New Roman" w:hAnsi="Times New Roman" w:eastAsia="宋体" w:cs="Times New Roman"/>
      <w:i/>
      <w:kern w:val="0"/>
      <w:sz w:val="21"/>
      <w:szCs w:val="20"/>
      <w:lang w:val="en-US" w:eastAsia="zh-CN" w:bidi="ar-SA"/>
    </w:rPr>
  </w:style>
  <w:style w:type="paragraph" w:styleId="5">
    <w:name w:val="Plain Text"/>
    <w:basedOn w:val="1"/>
    <w:next w:val="1"/>
    <w:link w:val="17"/>
    <w:qFormat/>
    <w:uiPriority w:val="99"/>
    <w:pPr>
      <w:widowControl/>
      <w:jc w:val="left"/>
    </w:pPr>
    <w:rPr>
      <w:rFonts w:ascii="宋体" w:hAnsi="Courier New"/>
      <w:kern w:val="0"/>
      <w:sz w:val="24"/>
    </w:rPr>
  </w:style>
  <w:style w:type="paragraph" w:styleId="6">
    <w:name w:val="footer"/>
    <w:basedOn w:val="1"/>
    <w:link w:val="12"/>
    <w:qFormat/>
    <w:uiPriority w:val="0"/>
    <w:pPr>
      <w:tabs>
        <w:tab w:val="center" w:pos="4153"/>
        <w:tab w:val="right" w:pos="8306"/>
      </w:tabs>
      <w:snapToGrid w:val="0"/>
      <w:jc w:val="left"/>
    </w:pPr>
    <w:rPr>
      <w:sz w:val="18"/>
      <w:szCs w:val="18"/>
    </w:rPr>
  </w:style>
  <w:style w:type="paragraph" w:styleId="7">
    <w:name w:val="header"/>
    <w:basedOn w:val="1"/>
    <w:next w:val="6"/>
    <w:link w:val="13"/>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customStyle="1" w:styleId="11">
    <w:name w:val="正文文本 Char"/>
    <w:basedOn w:val="9"/>
    <w:link w:val="2"/>
    <w:semiHidden/>
    <w:uiPriority w:val="99"/>
    <w:rPr>
      <w:rFonts w:ascii="Times New Roman" w:hAnsi="Times New Roman" w:eastAsia="宋体" w:cs="Times New Roman"/>
      <w:szCs w:val="24"/>
    </w:rPr>
  </w:style>
  <w:style w:type="character" w:customStyle="1" w:styleId="12">
    <w:name w:val="页脚 Char"/>
    <w:basedOn w:val="9"/>
    <w:link w:val="6"/>
    <w:uiPriority w:val="0"/>
    <w:rPr>
      <w:rFonts w:ascii="Times New Roman" w:hAnsi="Times New Roman" w:eastAsia="宋体" w:cs="Times New Roman"/>
      <w:sz w:val="18"/>
      <w:szCs w:val="18"/>
    </w:rPr>
  </w:style>
  <w:style w:type="character" w:customStyle="1" w:styleId="13">
    <w:name w:val="页眉 Char"/>
    <w:basedOn w:val="9"/>
    <w:link w:val="7"/>
    <w:qFormat/>
    <w:uiPriority w:val="0"/>
    <w:rPr>
      <w:rFonts w:ascii="Times New Roman" w:hAnsi="Times New Roman" w:eastAsia="宋体" w:cs="Times New Roman"/>
      <w:sz w:val="18"/>
      <w:szCs w:val="18"/>
    </w:rPr>
  </w:style>
  <w:style w:type="character" w:customStyle="1" w:styleId="14">
    <w:name w:val="正文文本 Char1"/>
    <w:basedOn w:val="9"/>
    <w:link w:val="2"/>
    <w:qFormat/>
    <w:uiPriority w:val="0"/>
    <w:rPr>
      <w:rFonts w:ascii="Times New Roman" w:hAnsi="Times New Roman" w:eastAsia="宋体" w:cs="Times New Roman"/>
      <w:szCs w:val="20"/>
    </w:rPr>
  </w:style>
  <w:style w:type="character" w:customStyle="1" w:styleId="15">
    <w:name w:val="页眉 Char2"/>
    <w:qFormat/>
    <w:uiPriority w:val="99"/>
    <w:rPr>
      <w:kern w:val="2"/>
      <w:sz w:val="21"/>
      <w:szCs w:val="18"/>
    </w:rPr>
  </w:style>
  <w:style w:type="character" w:customStyle="1" w:styleId="16">
    <w:name w:val="纯文本 Char"/>
    <w:basedOn w:val="9"/>
    <w:link w:val="5"/>
    <w:semiHidden/>
    <w:uiPriority w:val="99"/>
    <w:rPr>
      <w:rFonts w:ascii="宋体" w:hAnsi="Courier New" w:eastAsia="宋体" w:cs="Courier New"/>
      <w:szCs w:val="21"/>
    </w:rPr>
  </w:style>
  <w:style w:type="character" w:customStyle="1" w:styleId="17">
    <w:name w:val="纯文本 Char1"/>
    <w:link w:val="5"/>
    <w:qFormat/>
    <w:uiPriority w:val="99"/>
    <w:rPr>
      <w:rFonts w:ascii="宋体" w:hAnsi="Courier New" w:eastAsia="宋体" w:cs="Times New Roman"/>
      <w:kern w:val="0"/>
      <w:sz w:val="24"/>
      <w:szCs w:val="24"/>
    </w:rPr>
  </w:style>
  <w:style w:type="character" w:customStyle="1" w:styleId="18">
    <w:name w:val="标题 3 Char"/>
    <w:basedOn w:val="9"/>
    <w:link w:val="4"/>
    <w:uiPriority w:val="0"/>
    <w:rPr>
      <w:rFonts w:ascii="Times New Roman" w:hAnsi="Times New Roman" w:eastAsia="宋体" w:cs="Times New Roman"/>
      <w:b/>
      <w:bCs/>
      <w:sz w:val="32"/>
      <w:szCs w:val="32"/>
    </w:rPr>
  </w:style>
  <w:style w:type="character" w:customStyle="1" w:styleId="19">
    <w:name w:val="标题 3 Char1"/>
    <w:link w:val="4"/>
    <w:qFormat/>
    <w:uiPriority w:val="0"/>
    <w:rPr>
      <w:rFonts w:ascii="Times New Roman" w:hAnsi="Times New Roman" w:eastAsia="宋体" w:cs="Times New Roman"/>
      <w:b/>
      <w:bCs/>
      <w:kern w:val="0"/>
      <w:sz w:val="32"/>
      <w:szCs w:val="32"/>
    </w:rPr>
  </w:style>
  <w:style w:type="paragraph" w:customStyle="1" w:styleId="20">
    <w:name w:val="正文1"/>
    <w:basedOn w:val="1"/>
    <w:next w:val="1"/>
    <w:link w:val="21"/>
    <w:uiPriority w:val="0"/>
    <w:pPr>
      <w:widowControl/>
      <w:tabs>
        <w:tab w:val="left" w:pos="5600"/>
      </w:tabs>
      <w:spacing w:line="700" w:lineRule="exact"/>
      <w:ind w:firstLine="560" w:firstLineChars="200"/>
      <w:jc w:val="left"/>
    </w:pPr>
    <w:rPr>
      <w:rFonts w:ascii="宋体" w:hAnsi="宋体"/>
      <w:sz w:val="28"/>
      <w:szCs w:val="30"/>
    </w:rPr>
  </w:style>
  <w:style w:type="character" w:customStyle="1" w:styleId="21">
    <w:name w:val="正文1 Char1"/>
    <w:link w:val="20"/>
    <w:qFormat/>
    <w:uiPriority w:val="0"/>
    <w:rPr>
      <w:rFonts w:ascii="宋体" w:hAnsi="宋体" w:eastAsia="宋体" w:cs="Times New Roman"/>
      <w:sz w:val="28"/>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589</Words>
  <Characters>3358</Characters>
  <Lines>27</Lines>
  <Paragraphs>7</Paragraphs>
  <TotalTime>155</TotalTime>
  <ScaleCrop>false</ScaleCrop>
  <LinksUpToDate>false</LinksUpToDate>
  <CharactersWithSpaces>3940</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2022-03-29T10:06:00Z</dcterms:created>
  <dc:creator>DELL</dc:creator>
  <cp:lastModifiedBy>```</cp:lastModifiedBy>
  <dcterms:modified xsi:type="dcterms:W3CDTF">2022-05-09T01:40:37Z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ies>
</file>